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165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24. martā (prot. Nr. 16 29.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1. jūnija noteikumos Nr. 265 "Valsts atbalsta piešķiršanas kārtība meža nozares attīstībai"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3.</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un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1. jūnija noteikumos Nr. 265 "Valsts atbalsta piešķiršanas kārtība meža nozares attīstībai" (Latvijas Vēstnesis, 2023, 107. nr.; 2024, 80. nr.; 2025, 65.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Valsts atbalsta kopējais apmērs 2026. gadā ir 1 328 214 </w:t>
      </w:r>
      <w:r w:rsidR="00000000" w:rsidRPr="00000000" w:rsidDel="00000000">
        <w:rPr>
          <w:i w:val="1"/>
          <w:rtl w:val="0"/>
        </w:rPr>
        <w:t xml:space="preserve">euro</w:t>
      </w:r>
      <w:r w:rsidR="00000000" w:rsidRPr="00000000" w:rsidDel="00000000">
        <w:rPr>
          <w:rtl w:val="0"/>
        </w:rPr>
        <w:t xml:space="preserve">, un to piešķir no Zemkopības ministrijas budžeta programmas 24.00.00 "Meža resursu ilgtspējības saglabāšana" apakšprogrammā 24.02.00 "Valsts atbalsta pasākumi meža nozarē" Meža attīstības fondam (turpmāk – fonds) paredzētajiem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Valsts atbalstu 2026. gadā piešķir: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šādiem meža nozares atbalsta un attīstības, sabiedrības informēšanas un izglītošanas projektiem (turpmāk – attīstības projekti):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5.1.1. pasākumam "Meža dienas 2026", ko īsteno biedrība "Latvijas Pašvaldību savienība" – līdz 75 000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5.1.2. meža nozares gada balvas "Zelta čiekurs" pasniegšanas informatīvajam un tehniskajam nodrošinājumam – līdz 43 000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5.1.3. meža nozares gada balvas "Zelta čiekurs" laureātu balvu fondam – līdz 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5.1.4. Meža atbalsta fonda finansēto zinātniskās izpētes projektu informatīvajam nodrošinājumam – līdz 14 000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5.1.5. Eiropas Savienības iniciatīvas "Trīs miljardi koku" atbalsta projekta pirmā posma īstenošanai, ko izpilda Latvijas Lauku konsultāciju un izglītības centrs, – līdz 67 000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5.1.6. meža nozares gada balvu izgatavošanai – līdz 13 000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5.1.7. pasākumam "Mežs ienāk Jelgavā", ko īsteno Latvijas Biozinātņu un tehnoloģiju universitātes Meža un vides fakultāte, – līdz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5.1.8. Meža nozares komunikācijas kapacitātes stiprināšanai  – līdz 7000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5.1.9. dokumentālajai filmai par Latvijas koksnes ķīmijas sasniegumiem un problēmām – līdz 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5.1.10. reģionālajām konferencēm sadarbībā ar uzņēmējiem un augstskolām Valmierā, Rēzeknē, Daugavpilī, Ventspilī un Liepājā – līdz 35 000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5.1.11. atbilstoši Latvijas apstākļiem dabai tuvas mežsaimniecības vadlīniju aprobācijai un pārnesei uz lietotāju – līdz 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šādiem meža nozares prioritārās jomas zinātniskās izpētes projektiem (turpmāk – izpētes projekti) saskaņā ar Komisijas 2022. gada 14. decembra Regulu (ES)  2022/2472,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2022/2472):</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5.2.1. priekšlikumu izstrādei Nacionālā meža monitoringa pilnveidei, ietverot meža bioloģiskās daudzveidības monitoringa, otrā līmeņa gaisa piesārņojuma ietekmes monitoringa un egļu astoņzobu mizgrauža monitoringa komponentus, kā arī konsultatīvi zinātniskajam atbalstam Latvijas pozīcijas sagatavošanai par Eiropas Parlamenta un Padomes regulas projektu par Eiropas mežu noturību veicinoša monitoringa satvaru, kuru īsteno Latvijas Valsts mežzinātnes institūts "Silava", – 176 000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5.2.2. izpētes projektam "Mežsaimniecības un atsevišķu mežsaimniecības darbību ilgtermiņa ietekme uz meža resursu izmaiņām" – 45 000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5.2.3. ūdensteču un mitrzemju aizsargjoslu ekosistēmu pakalpojumu, zemes lietojumu un nākotnes attīstības novērtējumam – 58 000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5.2.4. pelnu mēslojuma ietekmes uz meža ekosistēmas parametriem aprēķiniem – 16 000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5.2.5. ekosistēmu pakalpojumu monetārās vērtības noteikšanai un meža ražības kāpināšanas aprēķiniem – 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5.2.6. privāto meža īpašnieku sadarbības un iesaistes meža nozares piegāžu ķēžu stabilizācijā iespēju izpētei un priekšlikumu sagatavošanai meža nozares attīstībai Latvijā – 18 000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5.2.7. priekšlikumu sagatavošanai par meža ekosistēmu bioloģiskās daudzveidības uzlabošanu, izmantojot regulas par dabas atjaunošanu projektā ietvertos rādītājus: parasto meža putnu populāciju indeksu, atmirušās koksnes apjomu, nevienmērīgas vecumstruktūras mežu īpatsvaru, meža savienojamību, organiskā oglekļa uzkrājumu, to mežu īpatsvaru, kuros dominē autohtonas koku sugas, un koku sugu daudzveidību – 40 000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5.2.8. metodikas izstrādei par koksnes plūsmu aprēķiniem, kas no mežizstrādes turpmākajā pārstrādes procesā pārvēršas sortimentā un produkcijā,  – 12 000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5.2.9. Vidzemes augstskolas dalībai starpvalstu projektā "Ti-ReX" – "Ietvars reģenerēto kokmateriālu pārdomātai stāvokļa novērtēšanai, lai pagarinātu ilgdzīvojošu koksnes izstrādājumu kalpošanas laiku, izmantojot nesagraujošu testēšanu un automatizētu datu pēcapstrādi" (angļu val. – </w:t>
      </w:r>
      <w:r w:rsidR="00000000" w:rsidRPr="00000000" w:rsidDel="00000000">
        <w:rPr>
          <w:i w:val="1"/>
          <w:rtl w:val="0"/>
        </w:rPr>
        <w:t xml:space="preserve">Framework for smart condition reassessment of Reclaimed Timber to eXtend the service life of long-lived wood products using non-destructive testing and automated data postprocessing</w:t>
      </w:r>
      <w:r w:rsidR="00000000" w:rsidRPr="00000000" w:rsidDel="00000000">
        <w:rPr>
          <w:rtl w:val="0"/>
        </w:rPr>
        <w:t xml:space="preserve">) sadarbībā ar Spānijas, Somijas, Polijas, Norvēģijas un Slovēnijas zinātniekiem –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Uz valsts atbalstu izpētes projektu īstenošanai var pieteikties institūcija vai tās struktūrvienība, kas reģistrēta Latvijas Republikas Zinātnisko institūciju reģistrā un atbilst regulas 2022/2472 2. panta 50. punktā noteiktajai pētniecības un zināšanu izplatīšanas organizācijas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Lai īstenotu šo noteikumu 5.1.2., 5.1.4.,  5.1.6., 5.1.8., 5.1.9., 5.1.10., 5.1.11., 5.2.2., 5.2.3., 5.2.4., 5.2.5., 5.2.6., 5.2.7. un 5.2.8. apakšpunktā minētos projektus, Zemkopības ministrija izsludina konkursu oficiālajā izdevumā "Latvijas Vēstnesis", nosakot vismaz 10 darbdienu ilgu projektu iesniegšanas termiņu, un informāciju par projekta mērķiem un darba uzdevumiem ievieto Zemkopības ministrijas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Šo noteikumu 5.1.1., 5.1.5., 5.1.7., 5.2.1. un 5.2.9. apakšpunktā minēto projektu darba uzdevumus Meža attīstības fonda sekretariāts (turpmāk – sekretariāts) nosūta valsts atbalsta pretendentiem."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Projektu konkursu par kopējo finansējumu 539 214 </w:t>
      </w:r>
      <w:r w:rsidR="00000000" w:rsidRPr="00000000" w:rsidDel="00000000">
        <w:rPr>
          <w:i w:val="1"/>
          <w:rtl w:val="0"/>
        </w:rPr>
        <w:t xml:space="preserve">eiro </w:t>
      </w:r>
      <w:r w:rsidR="00000000" w:rsidRPr="00000000" w:rsidDel="00000000">
        <w:rPr>
          <w:rtl w:val="0"/>
        </w:rPr>
        <w:t xml:space="preserve">apjomā izsludina šādās mērķprogrammās: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18.1. meža nozares profesionālās un augstākās izglītības attīstībai;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18.2. meža nozares attīstībai nepieciešamajiem zinātniskajiem pētījumiem;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18.3. sabiedrības informēšanas pasākumiem un meža īpašnieku izglītošanas un apmācības programmām: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18.3.1. meža nozari popularizējošu pasākumu un konferenču organizēšanai (tostarp speciālistu izglītošanai starptautiskajās organizācijās un pārstāvniecībai tajās), nozares informācijas sagatavošanai un publiskošanai;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18.3.2. sabiedrības un meža īpašnieku informēšanai un izglītošanai plašsaziņas līdzekļos par meža nozares aktualitātēm un sasniegumiem;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18.4. skolu jaunatnes un interešu pulciņu izglītības pasākumiem un programmām."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21.4.3.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"21.4.3. apliecinājuma vēstuli no raidorganizācijas vai tīmekļvietnes par sadarbību projekta īstenošanā un televīzijas raidījumu pārraidīšanu raidorganizācijas programmā (kanālā), veidojot raidījumus vai publikācijas (tīmekļvietnēs) valsts valodā un nodrošinot to brīvpieeju internetā vismaz 12 mēnešus pēc projekta beigām, ja iesniedzējs nav raidorganizācija vai īpašnieks tīmekļvietnei, kurā tiek informēta sabiedrība."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66.1.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"66.1. izplatot jebkuru informāciju par projektu, piemēram, plašsaziņas līdzekļos, sanāksmēs, vides reklāmās vai paziņojumos projekta īstenošanas vietās, norāda atsauci uz finanšu avotu (audioierakstos un teksta materiālos), vizuālajai informācijai pievieno fonda logotipu (maketos, plakātos, pie rakstiem) un sociālajos tīklos publicētajos ierakstos izmanto mirkļbirkas #maf un #mežaatbalstafonds. Pārskatā par projekta īstenošanu sniedz ziņas par izplatītās informācijas veidu un apjomu, saglabājot atsauci uz finansējuma avotu, un nodrošina brīvpieeju projektā sagatavotajiem materiāliem (publikācijām vai raidījumiem) internetā vismaz 12 mēnešus pēc projekta beigām;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 68.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26-TA-13</w:t>
    </w:r>
    <w:r>
      <w:br/>
    </w:r>
    <w:r w:rsidR="00000000" w:rsidRPr="00000000" w:rsidDel="00000000">
      <w:rPr>
        <w:rtl w:val="0"/>
      </w:rPr>
      <w:t xml:space="preserve">Izdrukāts 29.07.2026. 22.50 - 1.0.VK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26-TA-13</w:t>
    </w:r>
    <w:r>
      <w:br/>
    </w:r>
    <w:r w:rsidR="00000000" w:rsidRPr="00000000" w:rsidDel="00000000">
      <w:rPr>
        <w:rtl w:val="0"/>
      </w:rPr>
      <w:t xml:space="preserve">Izdrukāts 29.07.2026. 22.50 - 1.0.VK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noteikumu_(grozījumu)_projekts_26-TA-13.docx</dc:title>
</cp:coreProperties>
</file>

<file path=docProps/custom.xml><?xml version="1.0" encoding="utf-8"?>
<Properties xmlns="http://schemas.openxmlformats.org/officeDocument/2006/custom-properties" xmlns:vt="http://schemas.openxmlformats.org/officeDocument/2006/docPropsVTypes"/>
</file>