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12. martā (prot. Nr. 11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2022. gada 20. septembra noteikumos Nr. 582 "Eiropas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20. septembra noteikumos Nr. 582 "Eiropas Savienības Atveseļošanas un noturības mehānisma plāna 3.1. reformu un investīciju virzienu "Reģionālā politika" 3.1.2.1.i. investīcijas "Publisko pakalpojumu un nodarbinātības pieejamības veicināšanas pasākumi cilvēkiem ar funkcionāliem traucējumiem" pirmās kārtas "Valsts un pašvaldību ēku vides pieejamības nodrošināšanas pasākumi" īstenošanas noteikumi" (Latvijas Vēstnesis, 2022, 185., 200A. nr.; 2023, 131., 227.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24-TA-225</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24-TA-225</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noteikumu_(grozījumu)_projekts_24-TA-225.docx</dc:title>
</cp:coreProperties>
</file>

<file path=docProps/custom.xml><?xml version="1.0" encoding="utf-8"?>
<Properties xmlns="http://schemas.openxmlformats.org/officeDocument/2006/custom-properties" xmlns:vt="http://schemas.openxmlformats.org/officeDocument/2006/docPropsVTypes"/>
</file>