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281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aprīlī (prot. Nr. 15 42.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atļauju Tieslietu ministrijai (Maksātnespējas kontroles dienestam) uzņemties valsts budžeta ilgtermiņa saistības, lai nodrošinātu dalību Starptautiskajā maksātnespējas regulatoru asociācijā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dalības maksu Starptautiskajā maksātnespējas regulatoru asociācijā (</w:t>
      </w:r>
      <w:r w:rsidR="00000000" w:rsidRPr="00000000" w:rsidDel="00000000">
        <w:rPr>
          <w:i w:val="1"/>
          <w:rtl w:val="0"/>
        </w:rPr>
        <w:t xml:space="preserve">International Association of Insolvency Regulators</w:t>
      </w:r>
      <w:r w:rsidR="00000000" w:rsidRPr="00000000" w:rsidDel="00000000">
        <w:rPr>
          <w:rtl w:val="0"/>
        </w:rPr>
        <w:t xml:space="preserve">), atļaut Tieslietu ministrijai (Maksātnespējas kontroles dienestam) uzņemties valsts budžeta ilgtermiņa saistības 2024. gadā un turpmākajos gados  1220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katru gadu.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maksājumu nodrošināt no valsts budžeta apakšprogrammā 06.03.00 "Maksātnespējas procesa pārvaldība" paredzētajiem valsts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24-TA-368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24-TA-368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