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338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2025. gada 10. jūnijā (prot. Nr. 23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fondu 2021.–2027. gada plānošanas perioda vadības likuma 19. panta 6. un 13. 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2024. gada 26. novembra noteikumos Nr. 745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"Izglītības kvalitātes monitoringa sistēmas attīstība un nodrošināšana" īstenošanas noteikumi" (Latvijas Vēstnesis, 2024, 232.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noteikumu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b w:val="1"/>
          <w:rtl w:val="0"/>
        </w:rPr>
        <w:t xml:space="preserve"/>
      </w:r>
      <w:r w:rsidR="00000000" w:rsidRPr="00000000" w:rsidDel="00000000">
        <w:rPr>
          <w:b w:val="1"/>
          <w:rtl w:val="0"/>
        </w:rPr>
        <w:t xml:space="preserve">"Eiropas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pasākuma "Atbalsts izglītības kvalitātes attīstībai" īstenošanas noteikumi".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"1.1. kārtību, kādā īsteno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4.2.2.4. pasākumu "Atbalsts izglītības kvalitātes attīstībai" (turpmāk – pasākums);".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4.1.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 iznākuma rādītājs – nacionāla, reģionāla vai vietēja mēroga valsts administrācijas vai sabiedrisko pakalpojumu iestāžu un pakalpojumu skaits, kas saņēmuši atbalstu, – viena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Svītrot 4.3.2.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Svītrot 4.3.3.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Pasākuma ietvaros pieejamais kopējais finansējums ir</w:t>
      </w:r>
      <w:r w:rsidR="00000000" w:rsidRPr="00000000" w:rsidDel="00000000">
        <w:rPr>
          <w:b w:val="1"/>
          <w:rtl w:val="0"/>
        </w:rPr>
        <w:t xml:space="preserve"> </w:t>
      </w:r>
      <w:r w:rsidR="00000000" w:rsidRPr="00000000" w:rsidDel="00000000">
        <w:rPr>
          <w:rtl w:val="0"/>
        </w:rPr>
        <w:t xml:space="preserve">16 488 711 </w:t>
      </w:r>
      <w:r w:rsidR="00000000" w:rsidRPr="00000000" w:rsidDel="00000000">
        <w:rPr>
          <w:i w:val="1"/>
          <w:rtl w:val="0"/>
        </w:rPr>
        <w:t xml:space="preserve">euro</w:t>
      </w:r>
      <w:r w:rsidR="00000000" w:rsidRPr="00000000" w:rsidDel="00000000">
        <w:rPr>
          <w:rtl w:val="0"/>
        </w:rPr>
        <w:t xml:space="preserve">, tai skaitā Eiropas Sociālā fonda Plus finansējums – 14 015 404 </w:t>
      </w:r>
      <w:r w:rsidR="00000000" w:rsidRPr="00000000" w:rsidDel="00000000">
        <w:rPr>
          <w:i w:val="1"/>
          <w:rtl w:val="0"/>
        </w:rPr>
        <w:t xml:space="preserve">euro </w:t>
      </w:r>
      <w:r w:rsidR="00000000" w:rsidRPr="00000000" w:rsidDel="00000000">
        <w:rPr>
          <w:rtl w:val="0"/>
        </w:rPr>
        <w:t xml:space="preserve">un valsts budžeta finansējums – 2 473 307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13.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"13. Finansējuma saņēmējs projektu īsteno sadarbībā ar Izglītības kvalitātes valsts dienestu un Valsts izglītības attīstības aģentūru šo noteikumu 20.1., 20.2., 20.4., 20.5., 20.6. un 20.8. apakšpunktā minēto atbalstāmo 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14.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"14. Finansējuma saņēmējs, īstenojot šo noteikumu 20.4. apakšpunktā minētās darbības, projekta īstenošanā var papildus iesaistīt sadarbības partnerus – augstākās izglītības iestādes un zinātniskās institūcijas vai pakalpojuma sniedzējus."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Valsts izglītības attīstības aģentūra šo noteikumu 20.1. apakšpunktā minētās darbības īstenošanā, ja nepieciešams, var piesaistīt ārpakalpojuma sniedzēju."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20.4.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"20.4. IKM sistēmas attīstībai nepieciešamo pētījumu īstenošana un izglītības kvalitātes informatīvo ziņojumu sagatavošana;".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20.5.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"20.5. datu pratības kapacitātes stiprināšana mācībās, pieredzes pārneses, mērķsadarbības un citos pasākumos IKM sistēmas administrētājiem un lietotājiem (rīcībpolitikas plānotājiem un īstenotājiem, pašvaldību izglītības ekspertiem, izglītības iestāžu vadītājiem un vadītāju vietniekiem, datu zinātniekiem, pētniekiem u. c.);".</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Svītrot 20.7.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22.1.1.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"22.1.1. finansējuma saņēmēja projekta vadības un īstenošanas personāla izmaksas (izņemot virsstundas) šo noteikumu 20. punktā minēto atbalstāmo darbību īstenošanai.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22.1.2.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"22.1.2. šo noteikumu 13. punktā minēto sadarbības partneru projekta īstenošanas personāla izmaksas šo noteikumu 20.1., 20.2., 20.4., 20.5., 20.6. un 20.8. apakšpunktā minēto atbalstāmo darbību īstenošanai un šo noteikumu 12. punktā minētā sadarbības partnera projekta īstenošanas personāla izmaksas šo noteikumu 20.3. apakšpunktā minēto atbalstāmo darbību īstenošanai. Ja personāla iesaiste projektā ir nodrošināta saskaņā ar daļlaika attiecināmības principu, attiecināma ir ne mazāka kā 30 procentu noslodze;".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22.2.1.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"22.2.1. finansējuma saņēmēja projekta vadības personāla, projekta īstenošanas personāla un sadarbības partneru projekta īstenošanas personāla transporta izmaksas (maksa par degvielu, maksa par sabiedriskā transporta izmantošanu) šo noteikumu 20.1., 20.2., 20.5., 20.6., 20.9. un 20.10. apakšpunktā minēto atbalstāmo darbību īstenošanai atbilstoši vadošās iestādes izstrādātajai metodikai "Vienas vienības izmaksu standarta likmes aprēķina un piemērošanas metodika 1 km izmaksām darbības programmas "Izaugsme un nodarbinātība" un Eiropas Savienības kohēzijas politikas programmas 2021.–2027. gadam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22.2.2.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"22.2.2. finansējuma saņēmēja projekta vadības personāla, projekta īstenošanas personāla un sadarbības partneru projekta īstenošanas personāla pārējās transporta pakalpojumu izmaksas (transportlīdzekļu noma, transporta pakalpojumu pirkšana) šo noteikumu 20.1., 20.2., 20.5., 20.6., 20.9. un 20.10. apakšpunktā minēto atbalstāmo 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22.2.5.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"22.2.5. veselības apdrošināšanas izmaksas finansējuma saņēmēja projekta vadības un īstenošanas personālam un šo noteikumu 12. un 13. punktā minēto sadarbības partneru projekta īstenošanas personālam ir attiecināmas tikai laikposmā, kad projekta vadības un īstenošanas personāls ir nodarbināts projekta īstenošanā. Ja veselības apdrošināšana paredzēta finansējuma saņēmēja un sadarbības partnera iestādē un minētais personāls ir nodarbināts normālu darba laiku, veselības apdrošināšanas izmaksas ir attiecināmas 100 procentu apmērā. Ja projekta vadības un īstenošanas personāls ir nodarbināts nepilnu darba laiku vai daļlaiku, veselības apdrošināšanas izmaksas nosakāmas proporcionāli slodzes procentuālajam sadalījumam."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22.2.6.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"22.2.6. finansējuma saņēmēja projekta vadības un īstenošanas personāla un šo noteikumu 12. un 13. punktā minēto sadarbības partneru projekta īstenošanas personāla obligāto veselības pārbaužu izmaksas un speciālo medicīnisko optisko redzes korekcijas līdzekļu kompensācijas, ja tās nav iekļautas šo noteikumu 22.2.5. apakšpunktā minētajās izmaksās, saskaņā ar normatīvajiem aktiem par valsts un pašvaldību institūciju amatpersonu un darbinieku atlīdzību, kā arī attiecīgās iestādes iekšējiem normatīvajiem aktiem;".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22.2.8.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22.2.10.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"22.2.10. pakalpojumu, preču un piegādes izmaksas, tai skaitā ārvalstu un nacionālo ekspertu izmaksas, licenču iegāde, informācijas tehnoloģiju pakalpojumu, datu pārvaldības procedūru, datu kopu atlases un pētījumu izmaksas, šo noteikumu 20.1., 20.2., 20.3., 20.4., 20.5., 20.6., 20.8. un 20.10. apakšpunktā minēto atbalstāmo 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22.2.11.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"22.2.11. pasākumu (semināru, konferenču, darba grupu) organizēšanas un nodrošināšanas izmaksas šo noteikumu 20.1., 20.2., 20.3., 20.4., 20.5., 20.6., 20.8.un 20.10. apakšpunktā minēto atbalstāmo 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22.2.13.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"22.2.13. mācību izmaksas šo noteikumu 20.1., 20.2., 20.3., 20.5., 20.6., 20.8. un 20.9. apakšpunktā minēto atbalstāmo darbību īstenošanai IKM sistēmas attīstībā iesaistītajām personām;".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22.2.14.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"22.2.14. izglītojošu un informatīvu pasākumu, sadarbības un tīklošanās pasākumu, ārvalstu izpētes vizīšu, semināru un konferenču organizēšanas un īstenošanas izmaksas, tai skaitā vietējo un ārvalstu ekspertu, lektoru un moderatoru atlīdzības izmaksas, mācību maksa, telpu noma (ja projekta atbalstāmo darbību īstenošanai nepieciešams nomāt telpas ārpus finansējuma saņēmēja telpām vai projekta īstenošanas sadarbības partnera juridiskās un faktiskās uzturēšanās adreses), tehniskā atbalsta pakalpojumu, tiešsaistes pasākumu ierakstīšanas, tulkošanas, datortehnikas un cita nepieciešamā aprīkojuma nomas izmaksas šo noteikumu 20.1., 20.2., 20.3., 20.4., 20.5., 20.6. un 20.9. apakšpunktā minēto atbalstāmo 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22.2.17.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"22.2.17. šo noteikumu 20.5. apakšpunktā minēto atbalstāmo darbību izmaksas – mācību un izpētes vizīšu organizēšana pašvaldību un izglītības iestāžu pārstāvjiem kapacitātes stiprināšanai par datu analītikas jautājumiem profesionālās kompetences pilnveides nodrošināšanai Latvijā vai citās Eiropas Savienības dalībvalstīs (dalības maksa, apdrošināšanas izmaksas, komandējuma izdevumi);".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Pasākuma ietvaros Valsts izglītības attīstības aģentūrai izmaksas ir attiecināmas, ja tās atbilst šajos noteikumos minētajām izmaksu pozīcijām un ir radušās no šo noteikumu spēkā stāšanās dienas saistībā ar šo noteikumu 20.1. apakšpunktā minētās darbības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Sadarbības partneriem, izņemot Valsts izglītības attīstības aģentūru, izmaksas ir attiecināmas pēc šo noteikumu 17. punktā minēto sadarbības līgumu noslēgšanas, bet ne agrāk kā no dienas, kad noslēgta vienošanās par projekta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Projekta īstenošanas uzraudzībai Izglītības un zinātnes ministrija izveido projekta uzraudzības padomi, kurā uzaicina piedalīties citu nozaru ministriju un sociālo partneru pārstāvjus, tai skaitā vismaz vienu pārstāvi no Latvijas Pašvaldību savienības, Valsts izglītības attīstības aģentūras un Izglītības kvalitātes valsts dienesta. Projekta uzraudzības padomes sastāvā novērotāju statusā var iekļaut pārstāvjus arī no citām organizācijām un institūcijām, tai skaitā no sadarbības iestādes un atbildīgās iestādes. Uzraudzības padomes darbību nosaka nozares ministrijas izstrādāts un apstiprināts nolikums, paredzot, ka ne retāk kā reizi sešos mēnešos finansējuma saņēmējs ziņo projekta uzraudzības padomei par šo noteikumu 4. punktā minēto rādītāju sasniegtajām vērtībām un tiek izskatīts finansējuma saņēmēja ziņojums par projekta īstenošanas progresu un priekšlikumiem turpmāko darbību īstenošanai."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34.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"34. Publiskos iepirkumus finansējuma saņēmējs un sadarbības partneri (ja attiecināms) veic atklātā, pārredzamā, nediskriminējošā un konkurenci nodrošinošā procedūrā saskaņā ar normatīvajiem aktiem publisko iepirkumu jomā, izvērtējot iespējas iepirkumiem piemērot sociāli atbildīgu publisko iepirkumu. Projekta ietvaros ir atbalstāma vides prasību un inovatīva risinājuma integrēšana preču un pakalpojuma iepirkumos (zaļais publiskais iepirkums un inovāciju publiskais iepirkums)."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36.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Izglītības un zinātnes ministrija, lai nodrošinātu izglītības kvalitātes uzraudzību un novērtēšanu, izveido Izglītības kvalitātes padomi līdz 2025. gada 1. oktobrim."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Finansējuma saņēmējs ar iepirkuma procedūrā izvēlētu pakalpojuma sniedzēju līdz 2025. gada 30. septembrim noslēdz pakalpojuma līgumu par tehniskās specifikācijas izstrādi informācijas tehnoloģiju vides un datu izvērtējumam IKM sistēmas rīku un procesu tālākai attīstībai šo noteikumu 20.3. apakšpunktā minētās darbības nodrošināšanai."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39.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 Finansējuma saņēmējs un sadarbības partneri projekta īstenošanas laikā nodrošina interešu konflikta neesību saskaņā ar Eiropas Parlamenta un Padomes 2024. gada 23. septembra Regulas (ES, Euratom) 2024/2509 par finanšu noteikumiem, ko piemēro Savienības vispārējam budžetam (pārstrādāta redakcija), 61. panta prasībām, kā arī paraksta interešu konflikta neesības apliecinājumu."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D. Melbārde</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25-TA-569</w:t>
    </w:r>
    <w:r>
      <w:br/>
    </w:r>
    <w:r w:rsidR="00000000" w:rsidRPr="00000000" w:rsidDel="00000000">
      <w:rPr>
        <w:rtl w:val="0"/>
      </w:rPr>
      <w:t xml:space="preserve">Izdrukāts 29.07.2026. 23.53 - 1.0.VK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25-TA-569</w:t>
    </w:r>
    <w:r>
      <w:br/>
    </w:r>
    <w:r w:rsidR="00000000" w:rsidRPr="00000000" w:rsidDel="00000000">
      <w:rPr>
        <w:rtl w:val="0"/>
      </w:rPr>
      <w:t xml:space="preserve">Izdrukāts 29.07.2026. 23.53 - 1.0.VK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noteikumu_(grozījumu)_projekts_25-TA-569.docx</dc:title>
</cp:coreProperties>
</file>

<file path=docProps/custom.xml><?xml version="1.0" encoding="utf-8"?>
<Properties xmlns="http://schemas.openxmlformats.org/officeDocument/2006/custom-properties" xmlns:vt="http://schemas.openxmlformats.org/officeDocument/2006/docPropsVTypes"/>
</file>