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 mērķi, kādam paredzēts izmantot marķētu dīzeļdegvielu, – zvejniecībai iekšējos ūdeņos vai piekrastes ūdeņos;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4) kalendāra gadam piešķirto zvejas rīku skaitu sadalījumā pa to veidiem;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5) īpašumā, turējumā vai valdījumā esošos kuģus, to reģistrācijas numurus un motora veidus;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6) apliecinājumu, ka kalendāra gada laikā netika iegādāta marķētā dīzeļdegviela ar akcīzes nodokļa atbrīvojumu saskaņā ar normatīvajiem aktiem akcīzes nodokļa piemērošanas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7) apliecinājumu par sniegtās informācijas patiesumu un to, ka zvejniekam ir zināmi akcīzes nodokļa atvieglojuma saņemšanas nosacījumi un ka viņš apņemas tos ievērot;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8) klienta norēķinu konta numuru, uz kuru atmaksājams akcīzes nodoklis.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