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oktobrī (prot. Nr. 52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Speciālo radiolīdzekļu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58.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speciālo radiolīdzekļu izmantošanas kārtību un tehniskās prasības speciālo radiolīdzekļu darbībai un elektromagnētiskā izstarojuma ierobežošanai;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apmācības un speciālo radiolīdzekļu testēšanas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objektus un gadījumus, kuros valsts aizsardzības un drošības vajadzībām var pielietot speciālos radiolīdzekļus nevēlamu radiosakaru pārtraukšanai.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Speciālo radiolīdzekļu izmantošana nedrīkst apdraudēt cilvēku dzīvību un veselību un radīt personām materiālu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Speciālo radiolīdzekļu izmantošanas apjoms un intensitāte nevēlamu radiosakaru pārtraukšanai nedrīkst pārsniegt attiecīgajam valsts drošības apdraudējuma veidam un bīstamības pakāpei nepieciešamo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Speciālo radiolīdzekļu izmantošana var būt īslaicīga (uz laiku līdz trim diennaktīm) vai pastāvīga.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Īslaicīgu speciālo radiolīdzekļu izmantošanu nosaka un par to atbild: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iestādes (Satversmes aizsardzības birojs, Militārās izlūkošanas un drošības dienests, Valsts drošības dienests) un Nacionālo bruņoto spēku Militārā policija – lai nodrošinātu augsta ranga amatpersonu drošību ierobežotās pasākumu norises vietās, eskortēšanas maršrutos vai citās nepieciešamajās vietās un novērstu terorisma vai diversijas aktus, kā arī nodrošinātu drošību tādu pasākumu norises vietās, kuros nepieciešams paaugstināts drošības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bruņotie spēki – lai nodrošinātu valsts aizsardzības objektu drošību un aizsardzību, veiktu personāla apmācību un organizētu treniņus, testētu speciālos radiolīdzekļus militārajos poligonos un īslaicīgi izveidotajās mācību vietās un izmantotu tos speciālo operāciju veikšanai un valsts apdraudējuma situācijas novēršanai un pārvarēšanai.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Nacionālie bruņotie spēki informē valsts akciju sabiedrību "Elektroniskie sakari" par īslaicīgu speciālo radiolīdzekļu izmantošanu personāla apmācībām un speciālo radiolīdzekļu testēšanai, norādot valsts akciju sabiedrībai "Elektroniskie sakari" informāciju par minēto apmācību un testēšanas vietu, laiku, robežfrekvences un jaudu.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Īslaicīgu speciālā radiolīdzekļa izmantošanu organizē tā, lai tas radītu pēc iespējas mazāk radiotraucējumu ārpus speciālā radiolīdzekļa izmantošanas vietas. Pirms speciālā radiolīdzekļa izmantošanas valsts drošības iestādes un Nacionālie bruņotie spēki izvērtē nepieciešamo speciālā radiolīdzekļa izmantošanas laiku un izvietojumu, kā arī nepieciešamos speciālā radiolīdzekļa tehniskos parametrus (frekvenču joslu, signāla jaudas līmeni).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Pastāvīga speciālo radiolīdzekļu izmantošana atļauta ieslodzījuma vietās un Valsts policijas īslaicīgās aizturēšanas vietās. To nodrošina attiecīgi Ieslodzījuma vietu pārvalde vai Valsts policija pēc tam, kad saņemts pozitīvs valsts akciju sabiedrības "Elektroniskie sakari" atzinums par elektromagnētiskās saderības novērtēšanu speciālā radiolīdzekļa izmantošanai (turpmāk – atzinums).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Pastāvīga speciālā radiolīdzekļa izmantošana nedrīkst radīt kaitīgus radiotraucējumus: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 ieslodzījuma vietām un Valsts policijas īslaicīgās aizturēšanas vietām;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frekvenču joslām, kurās ir atļauta speciālā radiolīdzekļa darbība.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saņemtu atzinumu pastāvīga speciālā radiolīdzekļa izmantošanai, attiecīgi Ieslodzījuma vietu pārvalde vai Valsts policija iesniedz valsts akciju sabiedrībā "Elektroniskie sakari" atzinuma pieprasījumu (turpmāk – pieprasījums). Pieprasījumam pievieno: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rīkojuma norakstu vai citu dokumentu par amatpersonu, kura ir atbildīga par speciālā radiolīdzekļa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pilnvaru (ja jautājumus kārto pilnvarotā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speciālā radiolīdzekļa veidu, tipu, modeli, komplektāciju un izgatavotāju;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darba frekvenču joslu;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 radiolīdzekļa un tā izmantošanas vietas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plānoto speciālā radiolīdzekļa izstarotās jaudas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antenas maksimālā izstarojuma azimutu;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virziena diagrammas galvenā maksimuma platumu horizontālajā un vertikālajā plaknē –3 dB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datumu, kurā plānots uzsākt speciālā radiolīdzekļa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ražotāja noteiktos speciālā radiolīdzekļa uzstādīšanas un izmantošanas nosacījumus un darbības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jaudas regulēšanas diapazonu, ja jauda ir regulējama;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ārpusjoslas izstarojumu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normatīvajiem aktiem un tehniskajām specifikācijām, kurās noteiktajām prasībām atbilst speciālais radiolīdzeklis un saskaņā ar kurām veikti speciālā radiolīdzekļa parametru mērījumi;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valsts akciju sabiedrības "Elektroniskie sakari" pieprasījuma – citu informāciju, kas saistīta ar speciālā radiolīdzekļa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pieprasījumā norādīto speciālā radiolīdzekļa tehnisko parametru atbilstību šo noteikumu prasībām atbild pieprasījuma iesniedzējs.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akciju sabiedrība "Elektroniskie sakari" izskata pieprasījumu mēneša laikā pēc tā saņemšanas. Minēto termiņu var pagarināt, rakstiski informējot pieprasījuma iesniedzēju par pieprasījuma izskatīšanas termiņa pagarinājuma iemesliem.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Izskatot pieprasījumu, valsts akciju sabiedrība "Elektroniskie sakari" veic atzinuma sniegšanai nepieciešamos elektromagnētiskās saderības mērījumus.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Pirms atzinuma saņemšanas speciālo radiolīdzekli atļauts ieslēgt tikai mērījumu veikšanai pēc valsts akciju sabiedrības "Elektroniskie sakari" pieprasījuma.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akciju sabiedrība "Elektroniskie sakari" izskata pieprasījumu, izvērtē elektromagnētiskās saderības mērījumu rezultātus un, ja elektromagnētiskās saderības nosacījumi ir izpildīti, sniedz pozitīvu atzinumu. Ja konstatētas nepilnības, valsts akciju sabiedrība "Elektroniskie sakari" atsaka pastāvīgu speciālā radiolīdzekļa izmantošanas uzsākšanu līdz nepilnību novēršanai.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pastāvīgas speciālā radiolīdzekļa izmantošanas uzsākšanas valsts akciju sabiedrība "Elektroniskie sakari", ja nepieciešams, veic atkārtotus elektromagnētiskās saderības mērījumus.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Pieprasījuma izskatīšana un elektromagnētiskās saderības pārbaudes un mērījumi ir valsts akciju sabiedrības "Elektroniskie sakari" maksas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pozitīva atzinuma sniegšanas valsts akciju sabiedrība "Elektroniskie sakari" par to rakstiski paziņo atzinumā minētajās frekvenču joslās strādājošajiem publisko elektronisko sakaru tīklu operatoriem, norādot speciālā radiolīdzekļa izmantošanas vietu un atļautās frekvenču joslas.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pastāvīgas speciālo radiolīdzekļu izmantošanas atbilstību šo noteikumu prasībām atbild attiecīgi Ieslodzījuma vietu pārvalde vai Valsts policija.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Speciālā radiolīdzekļa izmantošanu pārtrauc,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izpildītas šo noteikumu </w:t>
      </w:r>
      <w:r w:rsidR="00000000" w:rsidRPr="00000000" w:rsidDel="00000000">
        <w:rPr>
          <w:rtl w:val="0"/>
        </w:rPr>
        <w:t xml:space="preserve">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izpildītas šajos noteikumos noteiktās tehniskās prasības pastāvīgai speciālā radiolīdzekļa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valsts akciju sabiedrība "Elektroniskie sakari", pārbaudot pieteikumu par kaitīgajiem radiotraucējumiem radio un televīzijas programmu uztveršanā vai citu radiosakaru darbībā ārpus ieslodzījuma vietām vai Valsts policijas īslaicīgās aizturēšanas vietām, konstatē, ka radiotraucējumu avots ir speciālais radiolīdzeklis, tā pieņem lēmumu par speciālā radiolīdzekļa darbības pārtraukšanu līdz radiotraucējumu novēršanai.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radiosakari tiek ierobežoti, attiecīgi Ieslodzījuma vietu pārvalde vai Valsts policija nodrošina, lai attiecīgajā teritorijā tiktu izvietota attiecīga paskaidrojoša informācija.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Pastāvīgu speciālo radiolīdzekļu izmantošanu drīkst noteikt tikai šajā punktā minētajās frekvenču joslās, un speciālo radiolīdzekļu radītais traucējošā signāla jaudas līmenis (P</w:t>
      </w:r>
      <w:r w:rsidR="00000000" w:rsidRPr="00000000" w:rsidDel="00000000">
        <w:rPr>
          <w:vertAlign w:val="subscript"/>
          <w:rtl w:val="0"/>
        </w:rPr>
        <w:t xml:space="preserve">SRL</w:t>
      </w:r>
      <w:r w:rsidR="00000000" w:rsidRPr="00000000" w:rsidDel="00000000">
        <w:rPr>
          <w:rtl w:val="0"/>
        </w:rPr>
        <w:t xml:space="preserve">), mērot ar 0 dBi pastiprinājuma antenu un savienojošo kabeli ar 0 dB vājinājumu, ārpus ieslodzījuma vietas un Valsts policijas īslaicīgās aizturēšanas vietas teritorijas nedrīkst pārsniegt šādas vērtības:</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74"/>
        <w:gridCol w:w="1785"/>
        <w:gridCol w:w="1776"/>
        <w:gridCol w:w="1776"/>
        <w:gridCol w:w="1676"/>
        <w:tblGridChange w:id="0">
          <w:tblGrid>
            <w:gridCol w:w="1874"/>
            <w:gridCol w:w="1785"/>
            <w:gridCol w:w="1776"/>
            <w:gridCol w:w="1776"/>
            <w:gridCol w:w="167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Radiosakaru sistēma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Frekvenču joslas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vertAlign w:val="subscript"/>
                <w:rtl w:val="0"/>
              </w:rPr>
              <w:t xml:space="preserve">PSRL (dBm)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Mērījumu josla (MHz)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460–467,5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GSM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925–960 </w:t>
            </w:r>
            <w:r>
              <w:br/>
            </w:r>
            <w:r w:rsidR="00000000" w:rsidRPr="00000000" w:rsidDel="00000000">
              <w:rPr>
                <w:rtl w:val="0"/>
              </w:rPr>
              <w:t xml:space="preserve">1805–1880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738–788 </w:t>
            </w:r>
            <w:r>
              <w:br/>
            </w:r>
            <w:r w:rsidR="00000000" w:rsidRPr="00000000" w:rsidDel="00000000">
              <w:rPr>
                <w:rtl w:val="0"/>
              </w:rPr>
              <w:t xml:space="preserve">791–821 </w:t>
            </w:r>
            <w:r>
              <w:br/>
            </w:r>
            <w:r w:rsidR="00000000" w:rsidRPr="00000000" w:rsidDel="00000000">
              <w:rPr>
                <w:rtl w:val="0"/>
              </w:rPr>
              <w:t xml:space="preserve">925–960 </w:t>
            </w:r>
            <w:r>
              <w:br/>
            </w:r>
            <w:r w:rsidR="00000000" w:rsidRPr="00000000" w:rsidDel="00000000">
              <w:rPr>
                <w:rtl w:val="0"/>
              </w:rPr>
              <w:t xml:space="preserve">1432–1472 </w:t>
            </w:r>
            <w:r>
              <w:br/>
            </w:r>
            <w:r w:rsidR="00000000" w:rsidRPr="00000000" w:rsidDel="00000000">
              <w:rPr>
                <w:rtl w:val="0"/>
              </w:rPr>
              <w:t xml:space="preserve">1492–1512 </w:t>
            </w:r>
            <w:r>
              <w:br/>
            </w:r>
            <w:r w:rsidR="00000000" w:rsidRPr="00000000" w:rsidDel="00000000">
              <w:rPr>
                <w:rtl w:val="0"/>
              </w:rPr>
              <w:t xml:space="preserve">1805–1880 </w:t>
            </w:r>
            <w:r>
              <w:br/>
            </w:r>
            <w:r w:rsidR="00000000" w:rsidRPr="00000000" w:rsidDel="00000000">
              <w:rPr>
                <w:rtl w:val="0"/>
              </w:rPr>
              <w:t xml:space="preserve">2110–2170 </w:t>
            </w:r>
            <w:r>
              <w:br/>
            </w:r>
            <w:r w:rsidR="00000000" w:rsidRPr="00000000" w:rsidDel="00000000">
              <w:rPr>
                <w:rtl w:val="0"/>
              </w:rPr>
              <w:t xml:space="preserve">2300–2370 </w:t>
            </w:r>
            <w:r>
              <w:br/>
            </w:r>
            <w:r w:rsidR="00000000" w:rsidRPr="00000000" w:rsidDel="00000000">
              <w:rPr>
                <w:rtl w:val="0"/>
              </w:rPr>
              <w:t xml:space="preserve">2570–2690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1880–1900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RLAN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2400–2483,5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BWA/IMT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3400–3800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RLAN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5150–5350 </w:t>
            </w:r>
            <w:r>
              <w:br/>
            </w:r>
            <w:r w:rsidR="00000000" w:rsidRPr="00000000" w:rsidDel="00000000">
              <w:rPr>
                <w:rtl w:val="0"/>
              </w:rPr>
              <w:t xml:space="preserve">5470–5725 </w:t>
            </w:r>
            <w:r>
              <w:br/>
            </w:r>
            <w:r w:rsidR="00000000" w:rsidRPr="00000000" w:rsidDel="00000000">
              <w:rPr>
                <w:rtl w:val="0"/>
              </w:rPr>
              <w:t xml:space="preserve">5945–6425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bl>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minētajās frekvenču joslās darbojas vairākas radiosakaru sistēmas, piemēro izmantotajām radiosakaru sistēmām atbilstošu P</w:t>
      </w:r>
      <w:r w:rsidR="00000000" w:rsidRPr="00000000" w:rsidDel="00000000">
        <w:rPr>
          <w:vertAlign w:val="subscript"/>
          <w:rtl w:val="0"/>
        </w:rPr>
        <w:t xml:space="preserve">SRL</w:t>
      </w:r>
      <w:r w:rsidR="00000000" w:rsidRPr="00000000" w:rsidDel="00000000">
        <w:rPr>
          <w:rtl w:val="0"/>
        </w:rPr>
        <w:t xml:space="preserve"> vērtību ar augstākām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Speciālā radiolīdzekļa jaudas līmenis ārpus frekvenču joslām, kurās paredzēta speciālā radiolīdzekļa darbība, nedrīkst pārsniegt šādas normas:</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24"/>
        <w:gridCol w:w="4874"/>
        <w:gridCol w:w="1704"/>
        <w:gridCol w:w="1936"/>
        <w:tblGridChange w:id="0">
          <w:tblGrid>
            <w:gridCol w:w="524"/>
            <w:gridCol w:w="4874"/>
            <w:gridCol w:w="1704"/>
            <w:gridCol w:w="193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Frekvences, kurās veic mērījumus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Maksimāli pieļaujamā jauda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Mērījumu josla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MHz līdz 1000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dBm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kHz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GHz līdz F x 5, kur F ir speciālā radiolīdzekļa augstākā frekvence, kurā paredzēta tā darbība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dBm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MHz</w:t>
            </w:r>
          </w:p>
        </w:tc>
      </w:tr>
    </w:tbl>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Traucējumu spriegumam uz speciālā radiolīdzekļa līdzstrāvas barošanas spailēm (piemēro, ja barošanas kabeļa garums pārsniedz trīs metrus) un maiņstrāvas barošanas spailēm jāatbilst šādām normām:</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74"/>
        <w:gridCol w:w="1785"/>
        <w:gridCol w:w="1776"/>
        <w:gridCol w:w="1776"/>
        <w:gridCol w:w="1676"/>
        <w:tblGridChange w:id="0">
          <w:tblGrid>
            <w:gridCol w:w="1874"/>
            <w:gridCol w:w="1785"/>
            <w:gridCol w:w="1776"/>
            <w:gridCol w:w="1776"/>
            <w:gridCol w:w="167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Frekvences, kurās veic mērījumus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Maksimāli pieļaujamais kvazigalotnes līmenis dB (μV)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Maksimāli pieļaujamais vidējais līmenis dB (μV)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Mērījumu josla (kHz)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0,15–0,5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66–56 </w:t>
            </w:r>
            <w:r>
              <w:br/>
            </w:r>
            <w:r w:rsidR="00000000" w:rsidRPr="00000000" w:rsidDel="00000000">
              <w:rPr>
                <w:rtl w:val="0"/>
              </w:rPr>
              <w:t xml:space="preserve">(līmenis samazinās lineāri, logaritmiski palielinoties frekvencei)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56–46 </w:t>
            </w:r>
            <w:r>
              <w:br/>
            </w:r>
            <w:r w:rsidR="00000000" w:rsidRPr="00000000" w:rsidDel="00000000">
              <w:rPr>
                <w:rtl w:val="0"/>
              </w:rPr>
              <w:t xml:space="preserve">(līmenis samazinās lineāri, logaritmiski palielinoties frekvencei)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0,5–5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bl>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Speciālā radiolīdzekļa izstarojumiem frekvencēs no 30 MHz līdz 6 GHz (izņemot frekvences, kurās paredzēta speciālā radiolīdzekļa darbība) 10 m (30–1000 MHz) un 3 m (1–6 GHz) attālumā jāatbilst šādām normām: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78"/>
        <w:gridCol w:w="1478"/>
        <w:gridCol w:w="1478"/>
        <w:gridCol w:w="1448"/>
        <w:gridCol w:w="1478"/>
        <w:gridCol w:w="1379"/>
        <w:tblGridChange w:id="0">
          <w:tblGrid>
            <w:gridCol w:w="1478"/>
            <w:gridCol w:w="1478"/>
            <w:gridCol w:w="1478"/>
            <w:gridCol w:w="1448"/>
            <w:gridCol w:w="1478"/>
            <w:gridCol w:w="137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Frekvences, kurās veic mērījumus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Maksimāli pieļaujamais kvazigalotnes līmenis dB (μV/m)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Maksimāli pieļaujamais vidējais līmenis dB (μV/m)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Maksimāli pieļaujamais galotnes līmenis dB (μV/m)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Mērījumu josla (kHz)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30–230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230–1000 MHz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GHz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w:t>
            </w:r>
          </w:p>
        </w:tc>
      </w:tr>
    </w:tbl>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Piezīme. Ja speciālā radiolīdzekļa raidītāja frekvence ir zemāka par  500 MHz, mērījumus veic tikai līdz 2 GHz frekvencei. Ja speciālā radiolīdzekļa raidītāja frekvence ir zemāka par  1 GHz, mērījumus veic tikai līdz 5 GHz frekvencei. Ja speciālā radiolīdzekļa raidītāja frekvence (F) ir augstāka par 1 GHz, mērījumus veic tikai līdz F x 5 GHz vai 6 GHz frekvencei.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Speciālā radiolīdzekļa atbilstību šo noteikumu </w:t>
      </w:r>
      <w:r w:rsidR="00000000" w:rsidRPr="00000000" w:rsidDel="00000000">
        <w:rPr>
          <w:rtl w:val="0"/>
        </w:rPr>
        <w:t xml:space="preserve">25.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prasībām novērtē, veicot pārbaudes saskaņā ar metodiku, kas atbilst Starptautiskās Telesakaru savienības (ITU) vai Eiropas Pasta un telesakaru administrāciju konferences (CEPT) rekomendācijām, vai Eiropas Elektrotehniskās standartizācijas komitejas (CENELEC) standartiem.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21-TA-303</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21-TA-303</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noteikumu_projekts_21-TA-303.docx</dc:title>
</cp:coreProperties>
</file>

<file path=docProps/custom.xml><?xml version="1.0" encoding="utf-8"?>
<Properties xmlns="http://schemas.openxmlformats.org/officeDocument/2006/custom-properties" xmlns:vt="http://schemas.openxmlformats.org/officeDocument/2006/docPropsVTypes"/>
</file>