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5. jūlija noteikumos Nr. 418 "Latvijas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inovāciju klasteru attīstībai" īstenošanas noteikumi kompetences centru ietvaros"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5. jūlija noteikumos Nr. 418 "Latvijas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inovāciju klasteru attīstībai" īstenošanas noteikumi kompetences centru ietvaros" (Latvijas Vēstnesis, 2022, 130. nr.; 2023, 131.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pirmās kārtas īstenošanas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mērķis – līdz 2025. gada 30. jūnijam apstiprinātas saistības vismaz 22 500 000 </w:t>
      </w:r>
      <w:r w:rsidR="00000000" w:rsidRPr="00000000" w:rsidDel="00000000">
        <w:rPr>
          <w:i w:val="1"/>
          <w:rtl w:val="0"/>
        </w:rPr>
        <w:t xml:space="preserve">euro</w:t>
      </w:r>
      <w:r w:rsidR="00000000" w:rsidRPr="00000000" w:rsidDel="00000000">
        <w:rPr>
          <w:rtl w:val="0"/>
        </w:rPr>
        <w:t xml:space="preserve"> apmērā no šo noteikumu 5. punktā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uzraudzības rādītājs - līdz 2024. gada 31. decembrim apstiprinātas saistības vismaz 11 250 000 </w:t>
      </w:r>
      <w:r w:rsidR="00000000" w:rsidRPr="00000000" w:rsidDel="00000000">
        <w:rPr>
          <w:i w:val="1"/>
          <w:rtl w:val="0"/>
        </w:rPr>
        <w:t xml:space="preserve">euro </w:t>
      </w:r>
      <w:r w:rsidR="00000000" w:rsidRPr="00000000" w:rsidDel="00000000">
        <w:rPr>
          <w:rtl w:val="0"/>
        </w:rPr>
        <w:t xml:space="preserve">apmērā no šo noteikumu 5. punktā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Kompetences centri pēc Ekonomikas ministrijai pieprasījuma, bet ne retāk kā reizi gadā, iesniedz šādus viedās specializācijas jomas rādītājus: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 pētniecības un attīstības (turpmāk – P&amp;A)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 P&amp;A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 kopējie P&amp;A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3.1. iekšējie izdevumi uzņēmumā veiktajiem P&amp;A darbiem;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3.2. ārpakalpojumu izdevumi P&amp;A darbiem, kas pasūtīti citās iestādēs, uzņēmumos, organizācijās;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 kopējais P&amp;A personāls (pilna laika ekvivalents):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4.1. iekšējais P&amp;A personāls: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4.1.1. pētnieki (zinātnieki un citi profesionāļi);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4.1.2. P&amp;A tehniskais un P&amp;A atbalsta personāls;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4.2. ārējais P&amp;A personāls – pētnieki, ieskaitot neapmaksātos (zinātnieki un citi profesionāļi);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5. 6.</w:t>
      </w:r>
      <w:r w:rsidR="00000000" w:rsidRPr="00000000" w:rsidDel="00000000">
        <w:rPr>
          <w:vertAlign w:val="superscript"/>
          <w:rtl w:val="0"/>
        </w:rPr>
        <w:t xml:space="preserve">1</w:t>
      </w:r>
      <w:r w:rsidR="00000000" w:rsidRPr="00000000" w:rsidDel="00000000">
        <w:rPr>
          <w:rtl w:val="0"/>
        </w:rPr>
        <w:t xml:space="preserve">4. apakšpunkta P&amp;A personāla izglītība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5.1. doktora grāds;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5.2. maģistra grāds, bakalaura grāds, pirmā vai otrā līmeņa augstākā vai profesionālā izglītība;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5.3. cita līmeņa izglītība, kas ir zemāka par šo noteikumu 6.</w:t>
      </w:r>
      <w:r w:rsidR="00000000" w:rsidRPr="00000000" w:rsidDel="00000000">
        <w:rPr>
          <w:vertAlign w:val="superscript"/>
          <w:rtl w:val="0"/>
        </w:rPr>
        <w:t xml:space="preserve">1</w:t>
      </w:r>
      <w:r w:rsidR="00000000" w:rsidRPr="00000000" w:rsidDel="00000000">
        <w:rPr>
          <w:rtl w:val="0"/>
        </w:rPr>
        <w:t xml:space="preserve">5.2. apakšpunktā minēto;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6. piesaistītais ārvalstu finansējums (</w:t>
      </w:r>
      <w:r w:rsidR="00000000" w:rsidRPr="00000000" w:rsidDel="00000000">
        <w:rPr>
          <w:i w:val="1"/>
          <w:rtl w:val="0"/>
        </w:rPr>
        <w:t xml:space="preserve">euro</w:t>
      </w:r>
      <w:r w:rsidR="00000000" w:rsidRPr="00000000" w:rsidDel="00000000">
        <w:rPr>
          <w:rtl w:val="0"/>
        </w:rPr>
        <w:t xml:space="preserve">) (no starptautiskām pētniecības programmām vai no ārvalstu partneriem) pētniecībai uzņēmumā;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7. rūpnieciskie pētījumi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8. tehniski ekonomiskā priekšizpēte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9. eksperimentālās izstrādes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 darbaspēka izmaksas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11. jaunradītās tehnoloģijas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12. jaunradītie produkti (preces un pakalpojumi, kas nav tehnoloģijas)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13. atbalstīto komersantu skaits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 radītie rūpnieciskā īpašuma objekti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14.1. patents un patentu pieteikumi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14.2. augu šķirne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14.3. reģistrēts dizainparaugs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14.4. pusvadītāja izstrādājums vai tā pieteikums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14.5. preču zīme (ieskaitot kolektīvās zīmes) un sertifikācijas zīme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15. publikācijas WoS un SCOPUS vai konferences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16. ar projekta īstenošanu saistīto jaunradīto darba vietu P&amp;A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17. komersanta neto apgrozījums (</w:t>
      </w:r>
      <w:r w:rsidR="00000000" w:rsidRPr="00000000" w:rsidDel="00000000">
        <w:rPr>
          <w:i w:val="1"/>
          <w:rtl w:val="0"/>
        </w:rPr>
        <w:t xml:space="preserve">euro</w:t>
      </w:r>
      <w:r w:rsidR="00000000" w:rsidRPr="00000000" w:rsidDel="00000000">
        <w:rPr>
          <w:rtl w:val="0"/>
        </w:rPr>
        <w:t xml:space="preserve">) no projekta rezultāta ieviešanas saimnieciskajā darbībā vai komercializēšanas;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18. komersanta eksports (</w:t>
      </w:r>
      <w:r w:rsidR="00000000" w:rsidRPr="00000000" w:rsidDel="00000000">
        <w:rPr>
          <w:i w:val="1"/>
          <w:rtl w:val="0"/>
        </w:rPr>
        <w:t xml:space="preserve">euro</w:t>
      </w:r>
      <w:r w:rsidR="00000000" w:rsidRPr="00000000" w:rsidDel="00000000">
        <w:rPr>
          <w:rtl w:val="0"/>
        </w:rPr>
        <w:t xml:space="preserve">) no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piedalīties un nodrošināt, ka pētniecības projektu atlases padomes sēdēs pētniecības projektu vērtēšanā tiek ievērots interešu konflikta novēršanas princips saskaņā ar Komisijas 2018. gada 18. jūlija Regulas (ES)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Komisijas regula Nr. 2018/1046), 61. pantu, caurspīdīguma un vienlīdzības princips, vienlaikus novēršot korupcijas, krāpšanas un dubulto finansējuma, ja nepieciešams, veicot atbilstošus korekcijas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Lai nodrošinātu investīcijas atbilstību principam "nenodari būtisku kaitējumu" saskaņā ar Eiropas Parlamenta un Padomes 2021. gada 12. februāra Regulas 2021/241, ar ko izveido Atveseļošanas un noturības mehānismu, 2. panta 6. punktu, investīcijas ietvaros Atveseļošanas fonda finansējumu nepiešķir šādām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 darbībām, kas saistītas ar fosilo kurināmo, tostarp tā pakārtotu izmantošanu, izņemot projektiem elektroenerģijas vai siltuma ražošanā, kā arī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 darbībām, kas saistītas ar atkritumu poligoniem, atkritumu sadedzināšanas iekārtām (izņemot darbībām, kas paredzētas iekārtām vienīgi nepārstrādājamu bīstamo atkritumu apstrādei, un darbībām, kas paredzētas esošām iekārtām, lai palielinātu energoefektivitāti, uztvertu izplūdes gāzes glabāšanai vai izmantošanai, vai reģenerētu materiālus no sadedzināšanas iekārtu darbības rezultātā radušajiem pelniem, ar nosacījumu, ka šādas darbības saskaņā ar šo pasākumu nepalielina iekārtu atkritumu pārstrādes jaudu vai nepagarina iekārtu darbmūžu; par ko pētniecības projekta noslēgumā ir sniegti pierādījumi iekārtu līmenī) un mehāniski bioloģiskās apstrādes iekārtām (izņemot darbībām, kas veiktas esošām iekārtām un paredzētas, lai palielinātu energoefektivitāti vai modernizētu dalīto atkritumu pārstrādes darbībām, tos pārveidojot par komposta bioatkritumiem un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3. darbībām, kur ilgstoša atkritumu apglabāšana var radīt kaitējumu videi;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4. 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5. 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6. darbībām, kas kaitē vides piesārņojuma novēršanai un kontrolei;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7. 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8. 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30.1.1.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"30.1.1. pētniecības projektu atlases padomes izvērtētiem rūpnieciskiem pētījumiem atbilstoši Komisijas regulas Nr. 651/2014 2. panta 85. punktā minētajai definīcijai, par kuriem saņemts labvēlīgs aģentūras lēmums par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30.1.2.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"30.1.2. pētniecības projektu atlases padomes izvērtētām eksperimentālām izstrādēm atbilstoši Komisijas regulas Nr. 651/2014 2. panta 86. punktā minētajai definīcijai, par kurām saņemts labvēlīgs aģentūras lēmums par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30.1.3.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"30.1.3. pētniecības projektu atlases padomes izvērtētai tehniski ekonomiskai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651/2014 2. panta 87. punktā minētajai definīcijai, par kuru saņemts labvēlīgs aģentūras lēmums par atbilstību komercdarbības atbalsta nosacījumiem. Maksimālais finansējuma apjoms nepārsniedz 300 000 </w:t>
      </w:r>
      <w:r w:rsidR="00000000" w:rsidRPr="00000000" w:rsidDel="00000000">
        <w:rPr>
          <w:i w:val="1"/>
          <w:rtl w:val="0"/>
        </w:rPr>
        <w:t xml:space="preserve">euro</w:t>
      </w:r>
      <w:r w:rsidR="00000000" w:rsidRPr="00000000" w:rsidDel="00000000">
        <w:rPr>
          <w:rtl w:val="0"/>
        </w:rPr>
        <w:t xml:space="preserve"> gadā vienam kompetences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kompetences centra organizētai pētniecības projektu koordinācijai, tai skaitā sadarbības veicināšanai, informācijas un zināšanu kopīgošanai, kā arī kompetences centra projekta vadības izmaksu segšanai. Finansējumu investīcijas ietvaros šajā apakšpunktā minētajām darbībām sniedz saskaņā ar Komisijas 2023. gada 13. decembra Regulas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kompetences centra attiecināmās izmaksas. Finansējumu šajā apakšpunktā minētajām darbībām sniedz saskaņā ar Komisijas regulu Nr. 2023/2831: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36.2.1. izmaksas šo noteikumu 30.2. apakšpunktā noteikto darbību veikšanai (kompetences centra dalības maksa iesaistei starptautiskās pētniecības un attīstības programmās, platformās un iniciatīvās, dalības maksa tīklošanās un mobilitātes pasākumiem, starptautisko projektu sagatavošanas izmaksas, lai iesaistītos starptautiskos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36.2.2. kompetences centra 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36.2.3. ārpakalpojumu iegāde – juridiskie, grāmatvedības, lietvedības, neatkarīga revidenta, iekšējā auditora un tulkošanas pakalpojumi, kas nepieciešami kompetences centru darbības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50.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Ja tiek sasniegti šo noteikumu 6. punkta rādītāji, investīcijas ietvaros izmaksas iespējams attiecināt līdz 2027. gada 31. decembrim, nepieciešamības gadījumā veicot grozījumus līgumā par projekta īstenošanu. Ja kompetences centram un sadarbības partnerim izmaksas rodas pēc 2027. gada 31. decembra, tās tiek segtas no saviem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54.1.15.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54.1.21.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"54.1.21. nodrošināt projekta ietvaros noteikto rādītāju sasniegšanu līdz 2026.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54.1.24.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"54.1.24. atmaksāt aģentūrai neieguldīto Atveseļošanas fonda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kompetences centra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54.2.1. piekļūt ar pētniecības projektu īstenošanu saistītās izmaksas pamatojošu dokumentu oriģināliem un doties uz pētniecības projekta īstenošanas vietu, lai gūtu pārliecību par kompetences centrā iesniegtā pētniecības projekta atbilstību;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54.2.2. sniegt priekšlikumus viedās specializācijas ilgtermiņa stratēģijas pilnveidošanā un darbības plāna precizēšanā."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55.7.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"55.7. ne retāk kā reizi sešos mēnešos publicēt savā tīmekļvietnē un, ja iespējams, finansējuma saņēmēja tīmekļvietnē aktuālo informāciju par pētniecības projekta īstenošanas gaitu, nodrošinot informācijas un publicitātes pasākumus saskaņā ar Eiropas Parlamenta un Padomes 2021. gada 12. februāra Regulas Nr. 2021/241,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Pētniecības projektu atlases padomei investīcijas ietvaros nepieciešams: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 pārliecināties, ka pētniecības projektā ir norādīta un analizēta veicamo vai jau veikto investīciju lietderība un pamatotība, kā arī komercializācijas potenciāls;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66.2. pārliecināties, ka ir norādīta pētniecības projekta atbilstība definētajai kompetences centra attīstības stratēģijai;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66.3. pārliecināties, ka pētniecības projektā definētie rādītāji ir sasniedzami noteiktajā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66.4. piesaistīt ārējo ekspertu pētniecības projekta vērtēšanā;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66.5. vērtēt pētniecības projekta pieteikuma starpposma un gala noslēguma pārskatus, balsojot par to apstiprināšanu vai noraidīšanu;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66.6. uzraudzīt, lai pētniecības projektos tiktu izpildīti noteiktie starpposmu un gala rezultātu rādītāji;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66.7. uzraudzīt, lai tiktu sasniegti šo noteikumu 12. punktā minētie kompetences centra darbības rādītāji;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66.8. ja nepieciešams, iesaistīt ekspertus pirms pētniecības projekta noslēguma maksājuma iesniegšanas aģentūrā, lai gūtu pārliecību, ka veiktie ieguldījumi ir bijuši lietderīgi un pamatoti pētniecības projekta rezultātu sasniegšanā;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66.9. pārliecināties par interešu konflikta, krāpšanas, korupcijas un dubultā finansējuma riska neesību pētniecības projektu izvērtēšanas, apstiprināšanas un īstenošanas procesā, veicot nepieciešamās darbības to novēršanā un labošanā, nodrošinot objektivitāti un vienlīdzīgu pieeju visiem pētniecības projektu pieteicējiem;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66.10. nodrošināt pētniecības projektu izvērtēšanas dokumentēšanu un caurspīdīgumu;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66.11. nodrošināt, ka pētniecības projektu izvērtēšanas procesā tiek ievērota dzimumu līdztiesība un vienlīdzīgu iespēju princips;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66.12. nodrošināt principa "nenodari būtisku kaitējumu" ievērošanu pētniecības projektu apstiprināšanā, lai iekļautā darbība ir nebūtiska vai tai ir neesoša paredzamā ietekme uz visiem vides mērķiem, vērtējot gan tiešās, gan primārās netiešās sekas visā aprites ciklā saskaņā ar Eiropas Parlamenta un Padomes 2021. gada 12. februāra Regulas Nr. 2021/241, ar ko izveido Atveseļošanas un noturības mehānismu, 2. panta 6.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66.13. pamatojoties uz kompetences centra veikto izmaksu izvērtējumu, pārliecināties, ka sadarbības partnera pētniecības projekta izdevumi ir nepieciešami pētījuma rezultātu sasniegšanai;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66.14. nodrošināt, ka tiek aizpildīts eksperta individuālais vērtējums par pētniecības projektu atbilstību noteiktajiem kritērijiem, pirms vērtējuma parakstot apliecinājumu par interešu konflikta neesību. Vērtējums jāsniedz visiem, kuri ar balsstiesībām piedalās pētniecības projektu atlases padomē."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68.1.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"68.1. pētniecības projektu atlases padomes sēdēs pētniecības projekti tiek vērtēti, ievērojot interešu konflikta novēršanas, caurspīdīguma un vienlīdzības principu, vienlaikus novēršot un labojot dubultā finansējuma iestāšanās, krāpšanas un korupcijas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Pētniecības projektu atlases padomes locekļi, eksperti un kompetences centra darbinieki, kas iesaistīti pētniecības projektu vērtēšanas un īstenošanas uzraudzības procesā, paraksta šo noteikumu 3. pielikumā esošo objektivitātes, konfidencialitātes un interešu konflikta neesības apliecinājumu, ka interešu konflikta situācijā nepiedalīsies pētniecības projektu izvērtēšanā un īstenošanas uzraudzībā. Apliecinājumu paraksta pirms Atveseļošanas fonda finansējuma pētniecības projektu izskatīšanas, starpposma un gala nodevumu vērtēšanas. Apliecinājumu kompetences centrs glabā atbilstoši Komisijas regulas Nr. 2018/1046 132. pantam un šo noteikumu 118.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91.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Nozares ministrija sagatavo izskatīšanai Ministru kabinetā ziņojumu par investīcijas īstenošanu, kas ietver informāciju par turpmāku investīcijas uzraudzību pēc 2026. gada 31. augusta, tai skaitā par finansējuma izlietojumu, sniedzot priekšlikumus par finansējuma pārvirzīšanu nozares ministrijas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91.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Ja investīcijas ietvaros ir sasniegti šo noteikumu 6. punktā minētie rādītāji, bet investīcijai atvēlētais finansējums līdz 2027. gada 31. decembrim nav ieguldīts pilnā apmērā, nozares ministrija informāciju par neieguldītā finansējuma izlietojumu iekļauj šo noteikumu 91.</w:t>
      </w:r>
      <w:r w:rsidR="00000000" w:rsidRPr="00000000" w:rsidDel="00000000">
        <w:rPr>
          <w:vertAlign w:val="superscript"/>
          <w:rtl w:val="0"/>
        </w:rPr>
        <w:t xml:space="preserve">1</w:t>
      </w:r>
      <w:r w:rsidR="00000000" w:rsidRPr="00000000" w:rsidDel="00000000">
        <w:rPr>
          <w:rtl w:val="0"/>
        </w:rPr>
        <w:t xml:space="preserve"> punktā minētajā ziņojumā."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Aģentūra lēmumus par komercdarbības atbalsta piešķiršanu: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93.1. finansējuma saņēmējam var pieņemt līdz Komisijas regulas Nr. 2023/2831 7.panta 3.punktā noteiktajam termiņam;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93.2. sadarbības partnerim var pieņemt līdz Komisijas regulas Nr. 651/2014 58. panta 4. punktā noteiktajam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97.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 Komercdarbības atbalsts, kas sniegts kompetences centriem saskaņā ar Komisijas regulu Nr. 2023/2831, tiek piešķirts ar aģentūras lēmumu. Lēmuma pieņemšanas diena ir uzskatāma par komercdarbības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98.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 Atveseļošanas fonda finansējums tiek piešķirts tikai gadījumā, ja kompetences centrs kā finansējuma saņēmējs atbilst Komisijas regulas Nr. 2023/2831 prasībām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108.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 Šo noteikumu ietvaros finansējuma saņēmēji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Nr.2023/2831 3.panta 2.punktā noteiktajam attiecīgajam robežlielumam, ja pēc atbalstu apvienošanas atbalsta vienībai vai izmaksu pozīcijai attiecīgā maksimālā atbalsta intensitāte nepārsniedz 100%."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Atbalstu projekta iesniedzējam nepiešķir Komisijas regulas Nr. 2023/2831 1. panta 1. punktā noteiktajām nozarēm un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110.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Atbalstu sadarbības partnerim nepiešķir Komisijas regulas Nr. 651/2014 1. panta 2. punkta "c" un "d" apakšpunktā un 3. punktā noteiktajām neatbalstāmajām nozarēm un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110.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Atbalstu projekta iesniedzējam un sadarbības partnerim nepiešķir šādām nozarēm un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1. ieroču un munīcijas tirdzniecībai (Saimniecisko darbību statistiskās klasifikācijas Eiropas Kopienā 2. redakcijas (turpmāk – NACE 2. red.) grupa 47.78 "Citur neklasificēta jaunu preču mazumtirdzniecība specializētajos veikalos");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2. azartspēlēm un derībām (NACE 2. red. 92. nodaļa "Azartspēles un derības");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3. 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4. 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5. 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6. 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Komercdarbības atbalstu drīkst piešķirt tikai tad, ja tiek skaidri nodalītas darbības un finanšu plūsmas atbalstāmās nozarēs, nodrošinot, ka darbības neatbalstāmajās nozarēs negūst labumu no komercdarbības atbalsta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111.1. ja projekta iesniedzējs darbojas kādā no neatbalstāmajām nozarēm saskaņā ar šo noteikumu 45. punktu atbilstoši Komisijas regulas Nr. 2023/2831 1. panta 2. punkta nosacījumiem un šo noteikumu 110.</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111.2. ja sadarbības partneris darbojas kādā no neatbalstāmajām nozarēm saskaņā ar šo noteikumu 46. punktu atbilstoši Komisijas regulas Nr. 651/2014 1. panta 3. punkta pēdējās rindkopas nosacījumiem un šo noteikumu 110.</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Pirms komercdarbības atbalsta sniegšanas saskaņā ar Komisijas regulu Nr. 2023/2831 aģentūra pārliecinās, vai finansējuma saņēmēja plānotais </w:t>
      </w:r>
      <w:r w:rsidR="00000000" w:rsidRPr="00000000" w:rsidDel="00000000">
        <w:rPr>
          <w:i w:val="1"/>
          <w:rtl w:val="0"/>
        </w:rPr>
        <w:t xml:space="preserve">de minimis</w:t>
      </w:r>
      <w:r w:rsidR="00000000" w:rsidRPr="00000000" w:rsidDel="00000000">
        <w:rPr>
          <w:rtl w:val="0"/>
        </w:rPr>
        <w:t xml:space="preserve"> atbalsts kopā ar iepriekšējos trīs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nepārsniegs Komisijas regulas Nr.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Finansējuma limits vienam finansējuma saņēmējam tiek vērtēts viena vienota komersanta līmenī atbilstoši Komisijas regulas Nr. 2023/2831 2. panta 2. punktam. Sniedzot atbalstu sadarbības partnerim, ievēro Komisijas regulas Nr. 651/2014 1. panta 2. punkta "c" un "d" apakšpunktā, 4. punkta "a" apakšpunktā un 4. panta 1. punkta "i" apakšpunktā noteiktos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115.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Ja tiek pārkāpti Komisijas regulas Nr. 2023/2831 nosacījumi, Atveseļošanas fonda finansējuma saņēmējam ir pienākums atmaksāt aģentūrai projekta ietvaros piešķirto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116.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Ja attiecībā uz sadarbības partnerim piešķirto atbalstu tiek pārkāpti Komisijas regulas Nr. 651/2014 nosacījumi, Atveseļošanas fonda finansējuma saņēmējam ir pienākums atmaksāt aģentūrai nelikumīgo projekta ietvaros piešķirto komercdarbības atbalstu kopā ar procentiem no līdzekļiem, kas ir brīvi no komercdarbības atbalsta, atbilstoši Komercdarbības atbalsta kontroles likuma IV vai V nodaļas nosacījumiem. Finansējuma saņēmējam ir tiesības no sadarbības partnera saņemt kompensāciju atmaksātā nelikumīgā atbalsta (kopā ar procentiem)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118.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 Informācijas pieejamība un dokumentu glabāšana tiek nodrošināta šādā veidā: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118.1. finansējuma saņēmējs nodrošina informācijas pieejamību un dokumentu glabāšanu 10 gadus, sākot no dienas, kad ir piešķirts pēdējais komercdarbības atbalsts sadarbības partnerim;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118.2. sadarbības partneris nodrošina informācijas pieejamību un dokumentu glabāšanu 10 gadus, sākot no komercdarbības atbalsta piešķiršanas brīža;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118.3. aģentūra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118.4. nozares ministrija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24-TA-204</w:t>
    </w:r>
    <w:r>
      <w:br/>
    </w:r>
    <w:r w:rsidR="00000000" w:rsidRPr="00000000" w:rsidDel="00000000">
      <w:rPr>
        <w:rtl w:val="0"/>
      </w:rPr>
      <w:t xml:space="preserve">Izdrukāts 29.07.2026. 22.13 - 4.0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24-TA-204</w:t>
    </w:r>
    <w:r>
      <w:br/>
    </w:r>
    <w:r w:rsidR="00000000" w:rsidRPr="00000000" w:rsidDel="00000000">
      <w:rPr>
        <w:rtl w:val="0"/>
      </w:rPr>
      <w:t xml:space="preserve">Izdrukāts 29.07.2026. 22.13 - 4.0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noteikumu_(grozījumu)_projekts_24-TA-204.docx</dc:title>
</cp:coreProperties>
</file>

<file path=docProps/custom.xml><?xml version="1.0" encoding="utf-8"?>
<Properties xmlns="http://schemas.openxmlformats.org/officeDocument/2006/custom-properties" xmlns:vt="http://schemas.openxmlformats.org/officeDocument/2006/docPropsVTypes"/>
</file>