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Dzīvnieka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2000, 2. nr.; 2002, 2. nr.; 2003, 6., 16. nr.; 2005, 10. nr.; 2007, 3. nr.; 2008, 3. nr.; 2009, 21. nr.; Latvijas Vēstnesis, 2010, 62., 205. nr.; 2012, 50. nr.; 2014, 123. nr.; 2017, 128. nr.; 2019, 248.A nr.; 2022, 191.A nr.; 2024, 62.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dzīvnieka spīdzināšana – personas apzināta darbība vai bezdarbība ar mērķi nodarīt dzīvniekam fiziskas sāpes vai emocionālas ciešanas, lai to sodītu, iebiedētu vai piespiestu uz darbībām, kas pārsniedz tā dabiskās spējas, vai lai attiecīgā persona gūtu baudu, ieskaitot seksuālu apmierināšanu;";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ilgstoša dzīvnieka atstāšana bez aprūpes vai bezpalīdzīgā stāvoklī, ja ar to radīts būtisks veselības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 punktā vārdus "izņemot gadījumus, kad tas nepieciešams darba dzīvnieka apmācībai";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7.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13. punktā vārdus "izņemot gadījumus, kad šīs darbības veiktas ārstēšanas, izmēģinājumu nolūkos, vai gadījumus, kad tiek apdraudēta cilvēka dzīvība vai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izslēgt pirmās daļas 15.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Aizliegta dzīvnieka spīdzināšana.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cietsirdīgu izturēšanos pret dzīvnieku vai par dzīvnieka spīdzināšanu nav uzskatāma: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dzīvnieka izmantošana apmācībai, sportam vai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veterinārmedicīnisko procedūru veikšana dzīvniekam;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izmēģinājuma dzīvnieka izmantošana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astes apgriešana šā likuma 18.</w:t>
      </w:r>
      <w:r w:rsidR="00000000" w:rsidRPr="00000000" w:rsidDel="00000000">
        <w:rPr>
          <w:vertAlign w:val="superscript"/>
          <w:rtl w:val="0"/>
        </w:rPr>
        <w:t xml:space="preserve">1</w:t>
      </w:r>
      <w:r w:rsidR="00000000" w:rsidRPr="00000000" w:rsidDel="00000000">
        <w:rPr>
          <w:rtl w:val="0"/>
        </w:rPr>
        <w:t xml:space="preserve"> pantā noteikto šķirņu suņiem;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8. panta ceturtajā daļā minēto kaķu apzīmēšana;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darbība, kuru veic, novēršot draudus cilvēka vai dzīvnieka, tostarp cita dzīvnieka, dzīvībai vai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pirmās daļas 3. punktā minētā rīcība, ja dzīvnieka īpašnieks nonācis bezpalīdzīgā stāvoklī veselības stāvoklis vai ārkārtas apstākļu dēl.".</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5. panta otrās daļas 9.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Noklīdis, bez pajumtes un īpašnieka aprūpes vai uzraudzības palicis dzīvnieks uzskatāms par klaiņojošu dzīvnieku, izņemot šā panta ceturtajā daļā minētais kaķis.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Jebkura persona par klaiņojošu vai bezpalīdzīgā stāvoklī nonākušu mājas (istabas) dzīvnieku un lauksaimniecības dzīvnieku nekavējoties paziņo pašvaldības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Jebkura persona par bezpalīdzīgā stāvoklī nonākušu savvaļas dzīvnieku nekavējoties paziņo Valsts meža dienestam vai Dabas aizsardzības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 "vietējā";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pašvaldības saistošajiem noteikumiem pašvaldība var atļaut apdzīvotā vietā dzīvojamo māju tuvumā turēt sterilizētu bezsaimnieka kaķi, ja tiek nodrošināta tā labturība un apzīmēšana. Praktizējošs veterinārārsts bezsaimnieka kaķi apzīmē sterilizācijas laikā, apgriežot auss skrimstalas augšējo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 punkta "a" apakšpunktu ar vārdiem "un klaiņojošu suņu un kaķu ķērāju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 punktā vārdus "Vides aizsardzības" ar vārdiem "Viedās administrācijas";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Pārtikas un veterinārā dienesta amatpersonai saistībā ar valsts uzraudzību un kontroli dzīvnieku labturības jomā ir tiesības izdarīt mājas (istabas) dzīvnieka kontrolpirkumu. Ja konstatē normatīvajos aktos noteikto mājas (istabas) dzīvnieka atsavināšanas prasību pārkāpumu, pārdevējs sedz izdevumus, kas saistīti ar kontrolpirkuma veikšanu.".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17. pantu ar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atsavināt personai, kura nav sasniegusi 16 gadu vecumu.".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39.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 pants.</w:t>
      </w:r>
      <w:r w:rsidR="00000000" w:rsidRPr="00000000" w:rsidDel="00000000">
        <w:rPr>
          <w:rtl w:val="0"/>
        </w:rPr>
        <w:t xml:space="preserve"> Klaiņojošu un bezpalīdzīgā stāvoklī nonākušu mājas (istabas) dzīvnieku izmitināšanai un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izveido un uztur dzīvnieku patversmi, un nodrošina klaiņojošu suņu un kaķu izķeršanu;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kas pati neizveido dzīvnieku patversmi, slēdz līgumu ar Pārtikas un veterinārajā dienestā reģistrētu dzīvnieku patversmi par mājas (istabas) dzīvnieku izmitināšanu, aprūpi un klaiņojošu suņu un kaķu izķeršanu.".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41. panta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54. panta otrajā daļā vārdu "sabiedriskajā".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24-TA-2404</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24-TA-2404</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likumprojekts_(grozījumi)_24-TA-2404.docx</dc:title>
</cp:coreProperties>
</file>

<file path=docProps/custom.xml><?xml version="1.0" encoding="utf-8"?>
<Properties xmlns="http://schemas.openxmlformats.org/officeDocument/2006/custom-properties" xmlns:vt="http://schemas.openxmlformats.org/officeDocument/2006/docPropsVTypes"/>
</file>