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934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5. novembrī (prot. Nr. 47 34.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2012. gada 15. marta rīkojumā Nr. 131 "Par Latvijas izvirzīto ad hoc tiesnešu sarakstu un Paskaidrojošo rakstu Eiropas Cilvēktiesību tiesai"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2012. gada 15. marta rīkojumā Nr. 131 "Par Latvijas izvirzīto ad hoc tiesnešu sarakstu un Paskaidrojošo rakstu Eiropas Cilvēktiesību tiesai" (Latvijas Vēstnesis, 2012, 45. nr.; 2015, 91. nr.; 2016, 15. nr.; 2022, 130.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Apstiprināt šādas Latvijas izvirzītās kandidatūras </w:t>
      </w:r>
      <w:r w:rsidR="00000000" w:rsidRPr="00000000" w:rsidDel="00000000">
        <w:rPr>
          <w:i w:val="1"/>
          <w:rtl w:val="0"/>
        </w:rPr>
        <w:t xml:space="preserve">ad hoc </w:t>
      </w:r>
      <w:r w:rsidR="00000000" w:rsidRPr="00000000" w:rsidDel="00000000">
        <w:rPr>
          <w:rtl w:val="0"/>
        </w:rPr>
        <w:t xml:space="preserve">tiesneša amatam Eiropas Cilvēktiesību tiesā: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Jautrīte Briede;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Mārtiņš Mits;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Jānis Neimanis;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Daiga Rezevska."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Ārlietu ministra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24-TA-2616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24-TA-2616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rīkojuma_(grozījumu)_projekts_24-TA-2616.docx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