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5. novembra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934</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2012.gada 15.marta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rīkojumam Nr. 131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Paskaidrojošais raksts Eiropas Cilvēktiesību tiesas </w:t>
      </w:r>
      <w:r w:rsidR="00000000" w:rsidRPr="00000000" w:rsidDel="00000000">
        <w:rPr>
          <w:i w:val="1"/>
          <w:rtl w:val="0"/>
        </w:rPr>
        <w:t xml:space="preserve">ad hoc</w:t>
      </w:r>
      <w:r w:rsidR="00000000" w:rsidRPr="00000000" w:rsidDel="00000000">
        <w:rPr>
          <w:b w:val="1"/>
          <w:rtl w:val="0"/>
        </w:rPr>
        <w:t xml:space="preserve"> tiesnešu sarakstam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Cilvēka tiesību un pamatbrīvību aizsardzības konvencijas (Konvencija) 26. panta 4. punkts noteic, ka tiesnesis, kurš ir ievēlēts no tās Augstās Līgumslēdzējas Puses, pret kuru tiek izskatīta lieta, ir palātas un Lielās palātas sastāvā </w:t>
      </w:r>
      <w:r w:rsidR="00000000" w:rsidRPr="00000000" w:rsidDel="00000000">
        <w:rPr>
          <w:i w:val="1"/>
          <w:rtl w:val="0"/>
        </w:rPr>
        <w:t xml:space="preserve">ex officio</w:t>
      </w:r>
      <w:r w:rsidR="00000000" w:rsidRPr="00000000" w:rsidDel="00000000">
        <w:rPr>
          <w:rtl w:val="0"/>
        </w:rPr>
        <w:t xml:space="preserve">. Ja šāda tiesneša nav vai viņš nevar piedalīties tiesas sēdē, tad tiesas sēdē ar tiesneša pilnvarām piedalās persona, kuru Eiropas Cilvēktiesību tiesas (Tiesa) priekšsēdētājs izvēlas no attiecīgās Līgumslēdzējas Puses iepriekš iesniegta saraksta.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Konvencijas 26. panta 4. punkts ieviests ar Konvencijas 14. protokola, kas groza Konvencijas kontroles sistēmu, 6. pantu, atbildot uz izteiktajām bažām par nominēto </w:t>
      </w:r>
      <w:r w:rsidR="00000000" w:rsidRPr="00000000" w:rsidDel="00000000">
        <w:rPr>
          <w:i w:val="1"/>
          <w:rtl w:val="0"/>
        </w:rPr>
        <w:t xml:space="preserve">ad hoc</w:t>
      </w:r>
      <w:r w:rsidR="00000000" w:rsidRPr="00000000" w:rsidDel="00000000">
        <w:rPr>
          <w:rtl w:val="0"/>
        </w:rPr>
        <w:t xml:space="preserve"> tiesnešu leģitimitāti un neatkarīgumu.</w:t>
      </w:r>
      <w:r w:rsidR="00000000" w:rsidRPr="00000000" w:rsidDel="00000000">
        <w:rPr>
          <w:vertAlign w:val="superscript"/>
          <w:rtl w:val="0"/>
        </w:rPr>
        <w:t xml:space="preserve">1</w:t>
      </w:r>
      <w:r w:rsidR="00000000" w:rsidRPr="00000000" w:rsidDel="00000000">
        <w:rPr>
          <w:rtl w:val="0"/>
        </w:rPr>
        <w:t xml:space="preserve"> 14. protokola Paskaidrojošajā memorandā</w:t>
      </w:r>
      <w:r w:rsidR="00000000" w:rsidRPr="00000000" w:rsidDel="00000000">
        <w:rPr>
          <w:vertAlign w:val="superscript"/>
          <w:rtl w:val="0"/>
        </w:rPr>
        <w:t xml:space="preserve">2</w:t>
      </w:r>
      <w:r w:rsidR="00000000" w:rsidRPr="00000000" w:rsidDel="00000000">
        <w:rPr>
          <w:rtl w:val="0"/>
        </w:rPr>
        <w:t xml:space="preserve"> tika paredzēts, ka detalizētākus noteikumus par </w:t>
      </w:r>
      <w:r w:rsidR="00000000" w:rsidRPr="00000000" w:rsidDel="00000000">
        <w:rPr>
          <w:i w:val="1"/>
          <w:rtl w:val="0"/>
        </w:rPr>
        <w:t xml:space="preserve">ad hoc</w:t>
      </w:r>
      <w:r w:rsidR="00000000" w:rsidRPr="00000000" w:rsidDel="00000000">
        <w:rPr>
          <w:rtl w:val="0"/>
        </w:rPr>
        <w:t xml:space="preserve"> tiesnešu nominēšanu ir iespējams iekļaut Tiesas Reglamentā.</w:t>
      </w:r>
      <w:r w:rsidR="00000000" w:rsidRPr="00000000" w:rsidDel="00000000">
        <w:rPr>
          <w:vertAlign w:val="superscript"/>
          <w:rtl w:val="0"/>
        </w:rPr>
        <w:t xml:space="preserve">3 </w:t>
      </w:r>
      <w:r w:rsidR="00000000" w:rsidRPr="00000000" w:rsidDel="00000000">
        <w:rPr>
          <w:rtl w:val="0"/>
        </w:rPr>
        <w:t xml:space="preserve">Atbilstoši Tiesas Reglamenta 29. punkta 1(a) apakšpunktam Līgumslēdzējām Pusēm ir jāiesniedz trīs līdz piecu </w:t>
      </w:r>
      <w:r w:rsidR="00000000" w:rsidRPr="00000000" w:rsidDel="00000000">
        <w:rPr>
          <w:i w:val="1"/>
          <w:rtl w:val="0"/>
        </w:rPr>
        <w:t xml:space="preserve">ad hoc </w:t>
      </w:r>
      <w:r w:rsidR="00000000" w:rsidRPr="00000000" w:rsidDel="00000000">
        <w:rPr>
          <w:rtl w:val="0"/>
        </w:rPr>
        <w:t xml:space="preserve">tiesnešu saraksts, no kura Tiesas palātas priekšsēdētājs var izvēlēties tiesnesi, kurš piedalīsies konkrētas lietas izskatīšanā, ja no attiecīgās Līgumslēdzējas Puses ievēlētais pastāvīgais tiesnesis nevar piedalīties lietas izskatīšanā. Savukārt atbilstoši Tiesas Reglamenta 29. punkta 1(c) apakšpunktam </w:t>
      </w:r>
      <w:r w:rsidR="00000000" w:rsidRPr="00000000" w:rsidDel="00000000">
        <w:rPr>
          <w:i w:val="1"/>
          <w:rtl w:val="0"/>
        </w:rPr>
        <w:t xml:space="preserve">ad hoc </w:t>
      </w:r>
      <w:r w:rsidR="00000000" w:rsidRPr="00000000" w:rsidDel="00000000">
        <w:rPr>
          <w:rtl w:val="0"/>
        </w:rPr>
        <w:t xml:space="preserve">tiesnešiem jāatbilst Konvencijas 21. panta 1. punktā izvirzītajām prasībām, kas attiecināmas uz Tiesas pastāvīgajiem tiesnešiem.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Latvijas Republika paziņo, ka Tiesā iesniegtais Latvijas izvirzīto</w:t>
      </w:r>
      <w:r w:rsidR="00000000" w:rsidRPr="00000000" w:rsidDel="00000000">
        <w:rPr>
          <w:b w:val="1"/>
          <w:rtl w:val="0"/>
        </w:rPr>
        <w:t xml:space="preserve"> </w:t>
      </w:r>
      <w:r w:rsidR="00000000" w:rsidRPr="00000000" w:rsidDel="00000000">
        <w:rPr>
          <w:i w:val="1"/>
          <w:rtl w:val="0"/>
        </w:rPr>
        <w:t xml:space="preserve">ad hoc</w:t>
      </w:r>
      <w:r w:rsidR="00000000" w:rsidRPr="00000000" w:rsidDel="00000000">
        <w:rPr>
          <w:rtl w:val="0"/>
        </w:rPr>
        <w:t xml:space="preserve"> tiesnešu saraksts ir sagatavots, ievērojot prasības, kas tiek izvirzītas Tiesas pastāvīgajiem tiesnešiem, un ir paredzēts, lai nodrošinātu savlaicīgu standarta lietu izskatīšanas procesu Tiesā. Tomēr, ņemot vērā apstākli, ka Tiesā izskatāmo lietu specifika kādā laikposmā var radīt nepieciešamību piesaistīt </w:t>
      </w:r>
      <w:r w:rsidR="00000000" w:rsidRPr="00000000" w:rsidDel="00000000">
        <w:rPr>
          <w:i w:val="1"/>
          <w:rtl w:val="0"/>
        </w:rPr>
        <w:t xml:space="preserve">ad hoc</w:t>
      </w:r>
      <w:r w:rsidR="00000000" w:rsidRPr="00000000" w:rsidDel="00000000">
        <w:rPr>
          <w:rtl w:val="0"/>
        </w:rPr>
        <w:t xml:space="preserve"> tiesnešus ar specifiskām zināšanām un pieredzi, Latvijas Republika ar šo paziņo, ka patur tiesības jebkurā brīdī pārskatīt Latvijas izvirzīto</w:t>
      </w:r>
      <w:r w:rsidR="00000000" w:rsidRPr="00000000" w:rsidDel="00000000">
        <w:rPr>
          <w:b w:val="1"/>
          <w:rtl w:val="0"/>
        </w:rPr>
        <w:t xml:space="preserve"> </w:t>
      </w:r>
      <w:r w:rsidR="00000000" w:rsidRPr="00000000" w:rsidDel="00000000">
        <w:rPr>
          <w:i w:val="1"/>
          <w:rtl w:val="0"/>
        </w:rPr>
        <w:t xml:space="preserve">ad hoc</w:t>
      </w:r>
      <w:r w:rsidR="00000000" w:rsidRPr="00000000" w:rsidDel="00000000">
        <w:rPr>
          <w:rtl w:val="0"/>
        </w:rPr>
        <w:t xml:space="preserve"> tiesnešu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Atsauces.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Konvencijas 14. protokola Paskaidrojošais memorands, 64. rindkopa.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Turpat; Eiropas Padomes Parlamentārās asamblejas 2009. gada 1. jūlija dokuments Nr. 11976; Eiropas Padomes Parlamentārās asamblejas 2012. gada 23. janvāra dokuments Nr. 12827.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Tiesas Reglamenta 26. un 29. punkts."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24-TA-2616</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24-TA-2616</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rīkojuma_(grozījumu)_projekts_p_24-TA-2616.docx</dc:title>
</cp:coreProperties>
</file>

<file path=docProps/custom.xml><?xml version="1.0" encoding="utf-8"?>
<Properties xmlns="http://schemas.openxmlformats.org/officeDocument/2006/custom-properties" xmlns:vt="http://schemas.openxmlformats.org/officeDocument/2006/docPropsVTypes"/>
</file>