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4. oktobrī (prot. Nr. 51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3.1.1. reformas "Administratīvi teritoriālā reforma" 3.1.1.5.i investīcijas "Izglītības iestāžu infrastruktūras pilnveide un aprīkošana"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iesniegumu priekšatlasei un projektu iesniegumu atlasei;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iesaistītās institūcijas un to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vispārējās izglītības iestāžu mācību vidi, nodrošinot efektīvu resursu koncentrāciju un izmantošanu un stiprinot visaptveroša pašvaldību izglītības iestāžu tīkla sakārtošanas rezultātā izveidotās pamatskolas, tādējādi veicinot kvalitatīvas izglītības ieguvi ārpus novadu pašvaldību administratīvajiem centriem.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 reorganizētas pašvaldību dibinātas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atbalstāmās darbības un sasniedzot šādu mērķa rādītāju – līdz 2026. gada 31. maijam pilnveidota un aprīkota infrastruktūra 20 pašvaldību dibinātās vispārējās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investīcijas mērķa rādītāja sasniegšanu, līdz 2022. gada 30. jūnijam ir sasniedzams atskaites punkts – pašvaldību domju pieņemti lēmumi par vismaz 20 vispārējās vidējās izglītības iestāžu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īsteno ar ierobežotu projektu iesniedzēju loku.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ietvaros nozares ministrijas funkcijas pilda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vienošanās par projektu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30 690 000 </w:t>
      </w:r>
      <w:r w:rsidR="00000000" w:rsidRPr="00000000" w:rsidDel="00000000">
        <w:rPr>
          <w:i w:val="1"/>
          <w:rtl w:val="0"/>
        </w:rPr>
        <w:t xml:space="preserve">euro</w:t>
      </w:r>
      <w:r w:rsidR="00000000" w:rsidRPr="00000000" w:rsidDel="00000000">
        <w:rPr>
          <w:rtl w:val="0"/>
        </w:rPr>
        <w:t xml:space="preserve">, un tas finansējuma saņēmējiem tiek piešķirts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projektu iesniegumu priekšatlasei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pašvaldība, kas līdz 2023. gada 28. februārim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kritērijiem (turpmāk – priekšatlases kritēriji) un ir saņēmusi nozares ministrijas uzaicinājumu iesniegt projekta iesniegumu atlasei (turpmāk – projekta iesniedzējs). Projekta iesniedzējs pēc projekta iesnieguma apstiprināšanas kļūst par finansējuma saņēmēju un noslēdz ar aģentūru vienošanos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veic projektu iesniedzēju priekšatlasi, izvērtējot projekta iesniedzēja atbilstību šādiem priekšatlases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tai ir lielākais izglītojamo skaits 1.–9. klašu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priekšatlasē ņem vērā pašvaldību domju lēmumus, ja tie pieņemti pēc 2020. gada 1. janvāra.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Priekšatlases kritērijiem atbilstošu pašvaldību investīcijai izvirzītās izglītības iestādes tiek sakārtotas prioritārā secībā (dilstošā kārtībā) atbilstoši izglītības iestādes izglītojamo skaitam 1.–9. klašu grupā saskaņā ar Valsts izglītības informācijas sistēmas datiem uz 2022. gada 1. septembri (ne vairāk kā viena izglītības iestāde katrā pašvaldībā un ne vairāk kā četras izglītības iestādes katrā plānošanas reģionā).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kādā no plānošanas reģioniem investīcijai izvirzīto izglītības iestāžu skaits ir mazāks par četrām, tad atbrīvotā plānošanas reģiona kvota prioritāri tiek piešķirta pārējo plānošanas reģionu pašvaldībām, kas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minētajai kārtībai ir ārpus attiecīgā plānošanas reģiona kvotas (ja attiecināms). Ja ir vairākas šādas pašvaldības, prioritāri tiek ņemta vērā tā, kuras izvirzītās izglītības iestādes izglītojamo skaits 1.–9. klašu grupā ir lielāks saskaņā ar Valsts izglītības informācijas sistēmas datiem uz 2022. gada 1. septembri.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kritērijiem un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minētajai kārtībai atbilstošu pašvaldību skaits kopumā ir mazāks par 20, tad tās var izvirzīt citu atbilstoši šiem noteikumiem reorganizētu vispārējās izglītības iestādi. Šādas papildus izvirzītas vispārējās izglītības iestādes tiek sakārtotas prioritārā secībā (dilstošā kārtībā) atbilstoši izglītības iestādes izglītojamo skaitam 1.–9. klašu grupā saskaņā ar Valsts izglītības informācijas sistēmas datiem uz 2022. gada 1. septembri.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Nozares ministrija divu mēnešu laikā pēc pašvaldību izvērtēšanas atbilstoši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priekšatlases kritērijiem iesniedz Ministru kabinetā informāciju lēmuma pieņemšanai par priekšatlasē atlasītajām pašvaldībām, katrai pašvaldībai plānoto maksimālo Atveseļošanas fonda finansējumu un ne vairāk kā 20 investīcijai izvirzītajām izglītības iestādēm, kas sarindotas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un, ja attiecināms,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Katram projekta iesniedzējam maksimāli plānotais Atveseļošanas fonda finansējums tiek rēķināts proporcionāli investīcijai izvirzītās izglītības iestādes izglītojamo skaitam 1.–9. klašu grupā saskaņā ar Valsts izglītības informācijas sistēmas datiem uz 2022. gada 1. septembri. Ja pašvaldība ir pieņēmusi lēmumus par visu ārpus pašvaldības administratīvā centra esošu vispārējās izglītības iestāžu reorganizāciju, tad, aprēķinot projekta iesniedzējam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Mēneša laikā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Ministru kabineta lēmuma pieņemšanas nozares ministrija nosūta uzaicinājumu Ministru kabineta lēmumā minētajām pašvaldībām sagatavot un iesniegt projekta iesniegumu Kohēzijas politikas fondu vadības informācijas sistēmā (turpmāk – vadības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Administratīvo teritoriju un apdzīvoto vietu likuma pārejas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novadu pašvaldības Atveseļošanas fonda projekta īstenošanā sadarbojas ar to teritorijai blakus esošo valstspilsētu pašvaldībām, noslēdzot sadarbības līgumu par projekta īstenošanu (turpmāk – sadarbības projekts). Valstspilsētas pašvaldības dome pieņem lēmumu par dalību sadarbības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Atbalstam izvirzītā izglītības iestāde darbību kā pamatskola uzsāk ne vēlāk kā 2025. gada 1. septembrī.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procesa nodrošināšanai paredzēta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atbalstāmo darbību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pārbūves un atjaunošanas izmaksas. Ja projektā paredzēta mācību vides uzlabošana visās projektā atbalstāmās vispārējās izglītības iestādes klašu telpās, tad var tikt paredzētas arī aktu zāles, sporta zāles, bibliotēkas vai lasītavas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un sanitāro mezglu pārbūves un atjaunošanas izmaksas, ja tiek īstenoti šo noteikumu </w:t>
      </w:r>
      <w:r w:rsidR="00000000" w:rsidRPr="00000000" w:rsidDel="00000000">
        <w:rPr>
          <w:rtl w:val="0"/>
        </w:rPr>
        <w:t xml:space="preserve">22.2.1. </w:t>
      </w:r>
      <w:r w:rsidR="00000000" w:rsidRPr="00000000" w:rsidDel="00000000">
        <w:rPr>
          <w:rtl w:val="0"/>
        </w:rPr>
        <w:t xml:space="preserve">apakšpunktā</w:t>
      </w:r>
      <w:r w:rsidR="00000000" w:rsidRPr="00000000" w:rsidDel="00000000">
        <w:rPr>
          <w:rtl w:val="0"/>
        </w:rPr>
        <w:t xml:space="preserve">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automātisko ugunsgrēka atklāšanas, trauksmes signalizācijas un automātiskās balss ugunsgrēka izziņošanas sistēmu) izbūves un pārbūves izmaksas. Minētās izmaksas plāno kā papildinošas šo noteikumu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22.2.2.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būvprojekta (tai skaitā būvprojekta minimālās stadijas) izstrādes vai aktualizēšanas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neatkarīgu būvekspertīžu veikšanas un tehniskās apsekošanas izmaksas, tai skaitā neatkarīgas būvprojekta ekspertīzes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un interneta pieslēguma izveides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dabaszinātņu (ķīmijas, bioloģijas, fizikas) mācību priekšmetu tehnisko ierīču un aprīkojuma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informācijas un publicitātes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kuras finansējuma saņēmējs norāda projekta iesniegumā un veic projekta ietvaros, nav attiecināmas finansēšanai no Atveseļošanas fonda finansējuma. Finansējuma saņēmējs pievienotās vērtības nodokļa izmaksas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izmaksas ir attiecināmas, sākot ar 2020. gada 1. februāri, atbilstoši Eiropas Parlamenta un Padomes 2021. gada 12. februāra Regulas 2021/241, ar ko izveido Atveseļošanas un noturības mehānismu (turpmāk – regula 2021/241), 17. panta 2. punktam. Projektā nedrīkst būt iekļautas darbības, kas ir pabeigtas uz 2021. gada 13. jūliju – dienu, kad Atveseļošanas fonds apstiprināts Eiropas Komisijā un Eiropas Padomē.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Projektu iesniegumu atlase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saņemtos projektu iesniegumus vērtē atbilstoši šādiem iesniegumu vērtēšanas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iesniegšanas un atbalsta piešķiršanas brīdī uz projekta iesniedzēju nav attiecināms kāds no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plānotās darbības atbilst projekta iesniedzēja un sadarbības partnera (ja attiecināms) pašvaldības attīstības programmas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 un projekta rezultāti ir precīzi definēti, pamatoti un izmērāmi un sekmē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mērķa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iesniegumā plānotās darbības un izmaksas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prasībām, un:</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ir vērstas uz regulas 2021/241 5. panta 2. punktā un Eiropas Parlamenta un Padomes 2020. gada 18. jūnija Regulas (ES) 2020/852 par regulējuma izveidi ilgtspējīgu ieguldījumu veicināšanai un ar ko groza Regulu (ES) 2019/2088, 17. pantā minētā principa "nenodari būtisku kaitējumu" vides mērķu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iesniegumu ir parakstījusi paraksttiesīga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pieņem lēmumu par projekta iesnieguma apstiprināšanu, ja projekta iesniegums atbilst visiem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minētajiem projektu iesniegumu vērtēšanas kritērijiem, un informē projekta iesnieguma iesniedzēju un aģentūru par vienošanās par projekta īstenošanu slēgšanu.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iesniegums neatbilst kādam no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minētajiem projektu iesniegumu vērtēšanas kritērijiem, nozares ministrija pieņem lēmumu uzdot projekta iesniedzējam veikt atbilstošus precizējumus vai papildinājumus. Projekta iesniedzējs projekta iesnieguma precizējumus vai papildinājumus iesniedz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iesniedzējs neveic projekta precizējumus vai papildinājumus atbilstoši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minētajai kārtībai, nozares ministrija pieņem lēmumu noraidīt projekta iesniegumu. Nozares ministrija var uzaicināt projekta iesniedzēju atkārtoti iesniegt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Investīcijas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lēmumam finansējuma saņēmējs un aģentūra noslēdz vienošanos par projekta īstenošanu. Tajā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finansēšanas plāna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grafika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kopumu, kas apliecina uz finansējuma saņēmēju attiecināmās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mērķa rādītāja daļas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apjomu un regularitāti, kādā informācija ievadāma vadības informācijas sistēmā (tai skaitā apjomu un regularitāti, kādā augšupielādējami nepieciešamie dokumenti, kas pamato noteikto atskaites punktu un mērķu sasniegšanu), kā arī atbildības sadalījumu starp aģentūru un finansējuma saņēmēju attiecībā uz informācijas ievadīšanu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Grozījumus projektā izdara saskaņā ar vienošanos, kas noslēgta starp aģentūru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projekta gadījumā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minētie partneri noslēdz sadarbības līgumu, kurā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finansējums un tā plānošana, katra sadarbības partnera projekta daļas finansējums un katra sadarbības partnera ieguldījums sadalījumā pa ieguldījumu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rezultātu izmantošanas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sankcijas, ko piemēro, ja netiek izpildītas sadarbības līgumā minētās saistības;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līguma darbības laiks, tā grozīšanas un izbeigšanas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īpašumu vai pamatlīdzekļu juridisko piederību un projekta īstenošanas rezultātā radīto vai iegādāto vērtību piederību, kā arī to uzturēšanas un izmantošanas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sadarbības partnera pienākumu izpildi sadarbības projekta īstenošanā un sadarbības partnera īstenotajām funkcijām projektā ir atbildīgs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 projekta īstenošanas laikā un projekta dzīves cikla laikā (10 gadi) atbilstoši nozares ministrijas izstrādātajai papildinošas saimnieciskās darbības uzraudzības metodikai nodrošina papildinošas saimnieciskās darbības uzraudzību projekta uzlabotajai infrastruktūrai.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aģentūra konstatē, ka ir pārkāptas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korupcijas, krāpšanas un interešu konflikta riska neiestāšanos, kā arī dubultfinansējuma riska neiestāšanos un demarkāciju, ja projektā plānotajām darbībām ir sinerģija ar citu atbalsta instrumentu investīcijām;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ar projekta īstenošanu saistītās dokumentācijas glabāšanu ne mazāk kā piecus gadus pēc pēdējā maksājuma veikšanas dalībvalstij;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ieguldījumi tiek veikti infrastruktūrā, kas ir finansējuma saņēmēja, sadarbības partnera vai valsts īpašumā, kas nodots finansējuma saņēmēja, sadarbības partnera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kopīgo rādītāju "Jaunu vai modernizētu bērnu aprūpes un izglītības iestāžu klašu telpu ietilpība";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īstenošanai nepieciešamie būvdarbi, preces un pakalpojumi tiek iegādāti atklātā, pārredzamā, nediskriminējošā un konkurenci nodrošinošā procedūrā saskaņā ar normatīvajiem aktiem iepirkuma procedūras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un publicitātes pasākumus saskaņā ar regulas 2021/241 34. pantu un Eiropas Komisijas un Latvijas Republikas Atveseļošanas un noturības mehānisma finansēšanas nolīguma 10.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aģentūrai, nozares ministrijai un citām Atveseļošanas fonda uzraudzībā iesaistītajām institūcijām, tostarp arī institūcijām, kas minētas Eiropas Komisijas un Latvijas Republikas Atveseļošanas un noturības mehānisma finansēšanas nolīgumā, visu nepieciešamo informāciju saistībā ar projekta ieviešanu un investīcijas mērķa sasniegšanu, nodrošinot datu un informācijas pieejamību.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saskaņā ar normatīvajiem aktiem par Eiropas Savienības Atveseļošanas un noturības mehānisma plāna īstenošanas un uzraudzības kārtību uzkrāj maksājumu pieprasījumu, izdevumus un sasniegto rādītāju pamatojošo dokumentu datus un līdz kārtējā gada 10. janvārim un 10. jūlijam ievada tos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un ne ilgāk kā līdz 2026. gada 31. maijam, ievērojot, ka aģentūra projekta noslēguma dokumentācijas pārbaudi un noslēguma maksājumu veic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vienošanās par projekta īstenošanu noslēgšanas aģentūra,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Atveseļošanas fonda finansējuma. Maksājuma pieprasījumu piešķirtā avansa maksājuma apmērā finansējuma saņēmējs iesniedz aģentūrai saimnieciskā gada ietvaros, bet ne ilgāk kā sešu mēnešu laikā pēc avansa maksājuma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Finansējuma saņēmējs var veikt avansa maksājumu, ja būvdarbu veicējs vai piegādātājs tam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Aģentūra papildus normatīvajos aktos par Eiropas Savienības Atveseļošanas un noturības mehānisma plāna īstenošanas un uzraudzības kārtību noteiktajām funkcijām veic šādus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pārbaudes projekta īstenošanas vietā;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projekta izmaksu pamatotību;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projekta ieviešanas progresa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Nozares ministrija papildus normatīvajos aktos par Eiropas Savienības Atveseļošanas un noturības mehānisma plāna īstenošanas un uzraudzības kārtību noteiktajām funkcijām pārbauda dokumentāciju, kas pamato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22-TA-388</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22-TA-388</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noteikumu_projekts_22-TA-388.docx</dc:title>
</cp:coreProperties>
</file>

<file path=docProps/custom.xml><?xml version="1.0" encoding="utf-8"?>
<Properties xmlns="http://schemas.openxmlformats.org/officeDocument/2006/custom-properties" xmlns:vt="http://schemas.openxmlformats.org/officeDocument/2006/docPropsVTypes"/>
</file>