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Finanšu ministrijas pārziņā esošo Eiropas Savienības fondu un ārvalstu finanšu palīdzības aktualitātēm līdz 2024. gada oktobrim"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Ministru kabineta 2024. gada 7. jūnija rīkojuma Nr. 446 “Par Vides aizsardzības un reģionālās attīstības ministrijas un Klimata un enerģētikas ministrijas reorganizāciju”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Ministru kabineta 2024. gada 28. maija protokollēmuma “Informatīvais ziņojums "Par Finanšu ministrijas pārziņā esošo Eiropas Savienības fondu un ārvalstu finanšu palīdzības aktualitātēm līdz 2024. gada 1. martam (pusgada ziņojums)"” (Nr. 22 44. §) 4.4.5. un 4.4.10. apakšpunktu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sadarbībā ar atbildīgajām iestādēm atbilstoši kompetencei nodrošināt maksājumus specifisko atbalsta mērķu projektu finansējuma saņēmējiem par Eiropas Savienības fondu līdzfinansējumu: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un enerģētikas ministrija – 2025. gadā vismaz 19 705 889 </w:t>
      </w:r>
      <w:r w:rsidR="00000000" w:rsidRPr="00000000" w:rsidDel="00000000">
        <w:rPr>
          <w:i w:val="1"/>
          <w:rtl w:val="0"/>
        </w:rPr>
        <w:t xml:space="preserve">euro</w:t>
      </w:r>
      <w:r w:rsidR="00000000" w:rsidRPr="00000000" w:rsidDel="00000000">
        <w:rPr>
          <w:rtl w:val="0"/>
        </w:rPr>
        <w:t xml:space="preserve">, 2026. gadā vismaz 12 696 081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 – 2024. gadā vismaz 15 892 987 </w:t>
      </w:r>
      <w:r w:rsidR="00000000" w:rsidRPr="00000000" w:rsidDel="00000000">
        <w:rPr>
          <w:i w:val="1"/>
          <w:rtl w:val="0"/>
        </w:rPr>
        <w:t xml:space="preserve">euro</w:t>
      </w:r>
      <w:r w:rsidR="00000000" w:rsidRPr="00000000" w:rsidDel="00000000">
        <w:rPr>
          <w:rtl w:val="0"/>
        </w:rPr>
        <w:t xml:space="preserve">, 2025. gadā vismaz 141 596 391 </w:t>
      </w:r>
      <w:r w:rsidR="00000000" w:rsidRPr="00000000" w:rsidDel="00000000">
        <w:rPr>
          <w:i w:val="1"/>
          <w:rtl w:val="0"/>
        </w:rPr>
        <w:t xml:space="preserve">euro</w:t>
      </w:r>
      <w:r w:rsidR="00000000" w:rsidRPr="00000000" w:rsidDel="00000000">
        <w:rPr>
          <w:rtl w:val="0"/>
        </w:rPr>
        <w:t xml:space="preserve">, 2026. gadā vismaz 156 312 866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Izglītības un zinātnes ministrijai, Tieslietu ministrijai, Viedās administrācijas un reģionālās attīstības ministrijai un Latvijas Investīciju un attīstības aģentūrai kā 2014.–2021. gada perioda Eiropas Ekonomikas zonas finanšu instrumenta un Norvēģijas finanšu instrumenta programmu apsaimniekotājiem līdz 2025. gada 7. februārim iesniegt Finanšu ministrijā saskaņošanai atbilstoši kompetencei īstenotās programmas noslēguma pārskata progresa sadaļu un līdz 2025. gada 7. martam iesniegt Valsts kasē programmas noslēguma pārskatu.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informatīvā ziņojuma 6. sadaļā minēto par Atveseļošanas fonda plāna ieviešanas progresu un riskiem: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ministrijām un Valsts kancelejai pastiprināti veikt visas nepieciešamās darbības, lai nodrošinātu Atveseļošanas fonda plāna reformu un investīciju īstenošanu atbilstoši Atveseļošanas fonda plānā un saistošajos dokumentos noteiktajiem uzdevumiem un to īstenošanas termiņiem, kā arī nodrošinātu 2024. gada valsts budžeta izdevumu plāna izpildi atbilstoši tajā paredzētajām investīcijām;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2025. gada pirmajā ceturksnī izvērtēt nozares ministriju un Valsts kancelejas pārziņā esošo  Atveseļošanas fonda plāna reformu un investīciju īstenošanas  progresu un informāciju par valsts budžeta 2024.gada investīciju izpildi, nepieciešamības gadījumā sniegt priekšlikumus finansējuma pārdalēm un grozījumiem Atveseļošanas fonda plānā,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ministrijām un Valsts kancelejai, izvērtējot savā pārziņā esošo Atveseļošanas fonda plāna reformu un investīciju īstenošanas progresu un valsts budžeta 2024. gada investīciju izpildi, tai skaitā ievērojot šī protokollēmuma 4.2. apakšpunktā noteiktos MK uzdevuma izpildes termiņus, nepieciešamības gadījumā nekavējoties sniegt Finanšu ministrijai argumentētus priekšlikumus finansējuma pārdalēm un grozījumiem Atveseļošanas fonda plānā, ja attiecināms.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pēc iespējas ātrāku Latvijas un Šveices sadarbības programmas otrā perioda Šveices apstiprināto programmu īstenošanas uzsākšanu, atbalstīt, ka ministrija kā programmas apsaimniekotājs pēc programmas līguma parakstīšanas var iesniegt normatīvajos aktos noteiktā kartībā Finanšu ministrijai pieprasījumu līdzekļu pārdalei no 74. resora "Gadskārtēja valsts budžeta izpildes procesa pārdalāmais finansējums" 80.00.00. programmas "Nesadalītais finansējums Eiropas Savienības politiku instrumentu un pārējās ārvalstu finanšu palīdzības līdzfinansēto projektu un pasākumu īstenošanai" programmā paredzēto attiecināmo administratīvo izdevumu segšanai, ņemot vērā informatīvajā ziņojumā iekļauto informāciju par </w:t>
      </w:r>
      <w:r w:rsidR="00000000" w:rsidRPr="00000000" w:rsidDel="00000000">
        <w:rPr>
          <w:i w:val="1"/>
          <w:rtl w:val="0"/>
        </w:rPr>
        <w:t xml:space="preserve">euro</w:t>
      </w:r>
      <w:r w:rsidR="00000000" w:rsidRPr="00000000" w:rsidDel="00000000">
        <w:rPr>
          <w:rtl w:val="0"/>
        </w:rPr>
        <w:t xml:space="preserve"> un Šveices franka valūtas kursu: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 par programmu "Partnerība lietišķās pētniecības jomās: inovatīvi materiāli, informācijas un komunikācijas tehnoloģijas un viedā enerģija" – 2025. gadā 249 264 </w:t>
      </w:r>
      <w:r w:rsidR="00000000" w:rsidRPr="00000000" w:rsidDel="00000000">
        <w:rPr>
          <w:i w:val="1"/>
          <w:rtl w:val="0"/>
        </w:rPr>
        <w:t xml:space="preserve">euro</w:t>
      </w:r>
      <w:r w:rsidR="00000000" w:rsidRPr="00000000" w:rsidDel="00000000">
        <w:rPr>
          <w:rtl w:val="0"/>
        </w:rPr>
        <w:t xml:space="preserve">, 2026. gadā 169 069 </w:t>
      </w:r>
      <w:r w:rsidR="00000000" w:rsidRPr="00000000" w:rsidDel="00000000">
        <w:rPr>
          <w:i w:val="1"/>
          <w:rtl w:val="0"/>
        </w:rPr>
        <w:t xml:space="preserve">euro</w:t>
      </w:r>
      <w:r w:rsidR="00000000" w:rsidRPr="00000000" w:rsidDel="00000000">
        <w:rPr>
          <w:rtl w:val="0"/>
        </w:rPr>
        <w:t xml:space="preserve">, 2027. gadā 169 069 </w:t>
      </w:r>
      <w:r w:rsidR="00000000" w:rsidRPr="00000000" w:rsidDel="00000000">
        <w:rPr>
          <w:i w:val="1"/>
          <w:rtl w:val="0"/>
        </w:rPr>
        <w:t xml:space="preserve">euro</w:t>
      </w:r>
      <w:r w:rsidR="00000000" w:rsidRPr="00000000" w:rsidDel="00000000">
        <w:rPr>
          <w:rtl w:val="0"/>
        </w:rPr>
        <w:t xml:space="preserve">, 2028. gadā 169 069  </w:t>
      </w:r>
      <w:r w:rsidR="00000000" w:rsidRPr="00000000" w:rsidDel="00000000">
        <w:rPr>
          <w:i w:val="1"/>
          <w:rtl w:val="0"/>
        </w:rPr>
        <w:t xml:space="preserve">euro</w:t>
      </w:r>
      <w:r w:rsidR="00000000" w:rsidRPr="00000000" w:rsidDel="00000000">
        <w:rPr>
          <w:rtl w:val="0"/>
        </w:rPr>
        <w:t xml:space="preserve">, 2029. gadā 308 470 </w:t>
      </w:r>
      <w:r w:rsidR="00000000" w:rsidRPr="00000000" w:rsidDel="00000000">
        <w:rPr>
          <w:i w:val="1"/>
          <w:rtl w:val="0"/>
        </w:rPr>
        <w:t xml:space="preserve">euro</w:t>
      </w:r>
      <w:r w:rsidR="00000000" w:rsidRPr="00000000" w:rsidDel="00000000">
        <w:rPr>
          <w:rtl w:val="0"/>
        </w:rPr>
        <w:t xml:space="preserve">, bet kopā nepārsniedzot indikatīvi 1 064 941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 par programmu "Spēcīgākas darba vidē balstītas mācības profesionālās izglītības un mācību pilnveidošanai Latvijā" –2025. gadā 275 659 </w:t>
      </w:r>
      <w:r w:rsidR="00000000" w:rsidRPr="00000000" w:rsidDel="00000000">
        <w:rPr>
          <w:i w:val="1"/>
          <w:rtl w:val="0"/>
        </w:rPr>
        <w:t xml:space="preserve">euro</w:t>
      </w:r>
      <w:r w:rsidR="00000000" w:rsidRPr="00000000" w:rsidDel="00000000">
        <w:rPr>
          <w:rtl w:val="0"/>
        </w:rPr>
        <w:t xml:space="preserve">, 2026. gadā 229 759 </w:t>
      </w:r>
      <w:r w:rsidR="00000000" w:rsidRPr="00000000" w:rsidDel="00000000">
        <w:rPr>
          <w:i w:val="1"/>
          <w:rtl w:val="0"/>
        </w:rPr>
        <w:t xml:space="preserve">euro</w:t>
      </w:r>
      <w:r w:rsidR="00000000" w:rsidRPr="00000000" w:rsidDel="00000000">
        <w:rPr>
          <w:rtl w:val="0"/>
        </w:rPr>
        <w:t xml:space="preserve">, 2027.gadā 213 513 </w:t>
      </w:r>
      <w:r w:rsidR="00000000" w:rsidRPr="00000000" w:rsidDel="00000000">
        <w:rPr>
          <w:i w:val="1"/>
          <w:rtl w:val="0"/>
        </w:rPr>
        <w:t xml:space="preserve">euro</w:t>
      </w:r>
      <w:r w:rsidR="00000000" w:rsidRPr="00000000" w:rsidDel="00000000">
        <w:rPr>
          <w:rtl w:val="0"/>
        </w:rPr>
        <w:t xml:space="preserve">, 2028. gadā 213 513 </w:t>
      </w:r>
      <w:r w:rsidR="00000000" w:rsidRPr="00000000" w:rsidDel="00000000">
        <w:rPr>
          <w:i w:val="1"/>
          <w:rtl w:val="0"/>
        </w:rPr>
        <w:t xml:space="preserve">euro</w:t>
      </w:r>
      <w:r w:rsidR="00000000" w:rsidRPr="00000000" w:rsidDel="00000000">
        <w:rPr>
          <w:rtl w:val="0"/>
        </w:rPr>
        <w:t xml:space="preserve">, 2029. gadā 297 614 </w:t>
      </w:r>
      <w:r w:rsidR="00000000" w:rsidRPr="00000000" w:rsidDel="00000000">
        <w:rPr>
          <w:i w:val="1"/>
          <w:rtl w:val="0"/>
        </w:rPr>
        <w:t xml:space="preserve">euro</w:t>
      </w:r>
      <w:r w:rsidR="00000000" w:rsidRPr="00000000" w:rsidDel="00000000">
        <w:rPr>
          <w:rtl w:val="0"/>
        </w:rPr>
        <w:t xml:space="preserve">, bet kopā nepārsniedzot indikatīvi 1 230 058</w:t>
      </w:r>
      <w:r w:rsidR="00000000" w:rsidRPr="00000000" w:rsidDel="00000000">
        <w:rPr>
          <w:i w:val="1"/>
          <w:rtl w:val="0"/>
        </w:rPr>
        <w:t xml:space="preserve">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 par programmu "Vēsturiski piesārņoto vietu sanācija" – 2024. gadā 11 535 </w:t>
      </w:r>
      <w:r w:rsidR="00000000" w:rsidRPr="00000000" w:rsidDel="00000000">
        <w:rPr>
          <w:i w:val="1"/>
          <w:rtl w:val="0"/>
        </w:rPr>
        <w:t xml:space="preserve">euro</w:t>
      </w:r>
      <w:r w:rsidR="00000000" w:rsidRPr="00000000" w:rsidDel="00000000">
        <w:rPr>
          <w:rtl w:val="0"/>
        </w:rPr>
        <w:t xml:space="preserve">, 2025. gadā 271 221 </w:t>
      </w:r>
      <w:r w:rsidR="00000000" w:rsidRPr="00000000" w:rsidDel="00000000">
        <w:rPr>
          <w:i w:val="1"/>
          <w:rtl w:val="0"/>
        </w:rPr>
        <w:t xml:space="preserve">euro</w:t>
      </w:r>
      <w:r w:rsidR="00000000" w:rsidRPr="00000000" w:rsidDel="00000000">
        <w:rPr>
          <w:rtl w:val="0"/>
        </w:rPr>
        <w:t xml:space="preserve">, 2026. gadā 263 935 </w:t>
      </w:r>
      <w:r w:rsidR="00000000" w:rsidRPr="00000000" w:rsidDel="00000000">
        <w:rPr>
          <w:i w:val="1"/>
          <w:rtl w:val="0"/>
        </w:rPr>
        <w:t xml:space="preserve">euro</w:t>
      </w:r>
      <w:r w:rsidR="00000000" w:rsidRPr="00000000" w:rsidDel="00000000">
        <w:rPr>
          <w:rtl w:val="0"/>
        </w:rPr>
        <w:t xml:space="preserve">, 2027. gadā 295 242 </w:t>
      </w:r>
      <w:r w:rsidR="00000000" w:rsidRPr="00000000" w:rsidDel="00000000">
        <w:rPr>
          <w:i w:val="1"/>
          <w:rtl w:val="0"/>
        </w:rPr>
        <w:t xml:space="preserve">euro</w:t>
      </w:r>
      <w:r w:rsidR="00000000" w:rsidRPr="00000000" w:rsidDel="00000000">
        <w:rPr>
          <w:rtl w:val="0"/>
        </w:rPr>
        <w:t xml:space="preserve">, 2028. gadā 273 573 </w:t>
      </w:r>
      <w:r w:rsidR="00000000" w:rsidRPr="00000000" w:rsidDel="00000000">
        <w:rPr>
          <w:i w:val="1"/>
          <w:rtl w:val="0"/>
        </w:rPr>
        <w:t xml:space="preserve">euro</w:t>
      </w:r>
      <w:r w:rsidR="00000000" w:rsidRPr="00000000" w:rsidDel="00000000">
        <w:rPr>
          <w:rtl w:val="0"/>
        </w:rPr>
        <w:t xml:space="preserve">, 2029. gadā 305 082 </w:t>
      </w:r>
      <w:r w:rsidR="00000000" w:rsidRPr="00000000" w:rsidDel="00000000">
        <w:rPr>
          <w:i w:val="1"/>
          <w:rtl w:val="0"/>
        </w:rPr>
        <w:t xml:space="preserve">euro</w:t>
      </w:r>
      <w:r w:rsidR="00000000" w:rsidRPr="00000000" w:rsidDel="00000000">
        <w:rPr>
          <w:rtl w:val="0"/>
        </w:rPr>
        <w:t xml:space="preserve">, bet kopā nepārsniedzot indikatīvi 1 420 588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 "Bērnu vēža aprūpes attīstība Latvijā" – 2024. gadā 35 372 </w:t>
      </w:r>
      <w:r w:rsidR="00000000" w:rsidRPr="00000000" w:rsidDel="00000000">
        <w:rPr>
          <w:i w:val="1"/>
          <w:rtl w:val="0"/>
        </w:rPr>
        <w:t xml:space="preserve">euro</w:t>
      </w:r>
      <w:r w:rsidR="00000000" w:rsidRPr="00000000" w:rsidDel="00000000">
        <w:rPr>
          <w:rtl w:val="0"/>
        </w:rPr>
        <w:t xml:space="preserve">, 2025. gadā 99 405 </w:t>
      </w:r>
      <w:r w:rsidR="00000000" w:rsidRPr="00000000" w:rsidDel="00000000">
        <w:rPr>
          <w:i w:val="1"/>
          <w:rtl w:val="0"/>
        </w:rPr>
        <w:t xml:space="preserve">euro</w:t>
      </w:r>
      <w:r w:rsidR="00000000" w:rsidRPr="00000000" w:rsidDel="00000000">
        <w:rPr>
          <w:rtl w:val="0"/>
        </w:rPr>
        <w:t xml:space="preserve">, 2026. gadā 84 730</w:t>
      </w:r>
      <w:r w:rsidR="00000000" w:rsidRPr="00000000" w:rsidDel="00000000">
        <w:rPr>
          <w:i w:val="1"/>
          <w:rtl w:val="0"/>
        </w:rPr>
        <w:t xml:space="preserve"> euro</w:t>
      </w:r>
      <w:r w:rsidR="00000000" w:rsidRPr="00000000" w:rsidDel="00000000">
        <w:rPr>
          <w:rtl w:val="0"/>
        </w:rPr>
        <w:t xml:space="preserve">, 2027. gadā 116 730 </w:t>
      </w:r>
      <w:r w:rsidR="00000000" w:rsidRPr="00000000" w:rsidDel="00000000">
        <w:rPr>
          <w:i w:val="1"/>
          <w:rtl w:val="0"/>
        </w:rPr>
        <w:t xml:space="preserve">euro</w:t>
      </w:r>
      <w:r w:rsidR="00000000" w:rsidRPr="00000000" w:rsidDel="00000000">
        <w:rPr>
          <w:rtl w:val="0"/>
        </w:rPr>
        <w:t xml:space="preserve">, 2028. gadā 96 605 </w:t>
      </w:r>
      <w:r w:rsidR="00000000" w:rsidRPr="00000000" w:rsidDel="00000000">
        <w:rPr>
          <w:i w:val="1"/>
          <w:rtl w:val="0"/>
        </w:rPr>
        <w:t xml:space="preserve">euro</w:t>
      </w:r>
      <w:r w:rsidR="00000000" w:rsidRPr="00000000" w:rsidDel="00000000">
        <w:rPr>
          <w:rtl w:val="0"/>
        </w:rPr>
        <w:t xml:space="preserve">, 2029. gadā 125 880 </w:t>
      </w:r>
      <w:r w:rsidR="00000000" w:rsidRPr="00000000" w:rsidDel="00000000">
        <w:rPr>
          <w:i w:val="1"/>
          <w:rtl w:val="0"/>
        </w:rPr>
        <w:t xml:space="preserve">euro</w:t>
      </w:r>
      <w:r w:rsidR="00000000" w:rsidRPr="00000000" w:rsidDel="00000000">
        <w:rPr>
          <w:rtl w:val="0"/>
        </w:rPr>
        <w:t xml:space="preserve">, bet kopā nepārsniedzot indikatīvi 558 722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5.1., 5.2., 5.3. un 5.4. apakšpunktā noradītais finansējums programmas administratīvajiem izdevumiem var tikt precizēts (sagatavojot valsts budžeta līdzekļa pieprasījumu kārtējam gadam), ņemot vērā aktuālo </w:t>
      </w:r>
      <w:r w:rsidR="00000000" w:rsidRPr="00000000" w:rsidDel="00000000">
        <w:rPr>
          <w:i w:val="1"/>
          <w:rtl w:val="0"/>
        </w:rPr>
        <w:t xml:space="preserve">euro</w:t>
      </w:r>
      <w:r w:rsidR="00000000" w:rsidRPr="00000000" w:rsidDel="00000000">
        <w:rPr>
          <w:rtl w:val="0"/>
        </w:rPr>
        <w:t xml:space="preserve"> un Šveices franka kursu, lai nodrošinātu, ka netiek pārsniegts Šveices piešķirtais finansējums Šveices frankos atbilstoši programmas līgumā notiktajam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šī protokollēmuma 5.1., 5.2., 5.3. un 5.4. apakšpunktā minētās ministrijas atbilstoši 5. punktā noteiktajam nodrošina piešķirto valsts budžeta līdzekļu izmantošanu vienīgi programmu attiecināmo administratīvo izdevumu segšanai, tai skaitā ievērojot pareizas finanšu pārvaldības, saimnieciskuma, lietderības un efektivitātes principus.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informatīvā ziņojuma 7. sadaļā minēto un lai nodrošinātu pēc iespējās ātrāku EEZ un Norvēģijas finanšu mehānisma 2021.–2028. gadam programmu apstiprināšanu un faktisko uzsākšanu, Finanšu ministrijai uzsākt jaunā perioda Latvijas prioritāšu noteikšanas koordinēšanu un priekšlikuma iesniegšanu izskatīšanai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24-TA-1915</w:t>
    </w:r>
    <w:r>
      <w:br/>
    </w:r>
    <w:r w:rsidR="00000000" w:rsidRPr="00000000" w:rsidDel="00000000">
      <w:rPr>
        <w:rtl w:val="0"/>
      </w:rPr>
      <w:t xml:space="preserve">Izdrukāts 29.07.2026. 21.09 - 3.0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mk_sēdes_protokollēmuma_projekts_24-TA-1915.docx</dc:title>
</cp:coreProperties>
</file>

<file path=docProps/custom.xml><?xml version="1.0" encoding="utf-8"?>
<Properties xmlns="http://schemas.openxmlformats.org/officeDocument/2006/custom-properties" xmlns:vt="http://schemas.openxmlformats.org/officeDocument/2006/docPropsVTypes"/>
</file>