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26. oktobrī (prot. Nr. 54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2022. gadā no Finanšu ministrijas budžeta apakšprogrammas 41.13.00 "Finansējums VAS "Valsts nekustamie īpašumi" īstenojamiem projektiem un pasākumiem" uz Kultūras ministrijas budžeta apakšprogrammu 22.03.00 "Kultūras infrastruktūras attīstība" 299 666 </w:t>
      </w:r>
      <w:r w:rsidR="00000000" w:rsidRPr="00000000" w:rsidDel="00000000">
        <w:rPr>
          <w:i w:val="1"/>
          <w:rtl w:val="0"/>
        </w:rPr>
        <w:t xml:space="preserve">euro</w:t>
      </w:r>
      <w:r w:rsidR="00000000" w:rsidRPr="00000000" w:rsidDel="00000000">
        <w:rPr>
          <w:rtl w:val="0"/>
        </w:rPr>
        <w:t xml:space="preserve"> apmērā pārskaitīšanai valsts sabiedrībai ar ierobežotu atbildību "Rīgas cirks", lai veiktu pievienotās vērtības priekšnodokļa atmaksu valsts budžetā par projektā "Energoefektivitātes paaugstināšanas pasākumu īstenošana ēkai Merķeļa ielā 4, Rīgā" veiktajiem būvniecības darbiem.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sagatavot un normatīvajos aktos noteiktajā kārtībā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1. punktā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22-TA-3093</w:t>
    </w:r>
    <w:r>
      <w:br/>
    </w:r>
    <w:r w:rsidR="00000000" w:rsidRPr="00000000" w:rsidDel="00000000">
      <w:rPr>
        <w:rtl w:val="0"/>
      </w:rPr>
      <w:t xml:space="preserve">Izdrukāts 30.07.2026. 00.02 - 1.0.VK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22-TA-3093</w:t>
    </w:r>
    <w:r>
      <w:br/>
    </w:r>
    <w:r w:rsidR="00000000" w:rsidRPr="00000000" w:rsidDel="00000000">
      <w:rPr>
        <w:rtl w:val="0"/>
      </w:rPr>
      <w:t xml:space="preserve">Izdrukāts 30.07.2026. 00.02 - 1.0.VK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rīkojuma_projekts_22-TA-3093.docx</dc:title>
</cp:coreProperties>
</file>

<file path=docProps/custom.xml><?xml version="1.0" encoding="utf-8"?>
<Properties xmlns="http://schemas.openxmlformats.org/officeDocument/2006/custom-properties" xmlns:vt="http://schemas.openxmlformats.org/officeDocument/2006/docPropsVTypes"/>
</file>