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19. aprīlī (prot. Nr. 22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prioritārā virziena "Pasākumi Covid-19 pandēmijas seku mazināšanai" 13.1.4. specifiskā atbalsta mērķa "Atveseļošanas pasākumi kultūras jomā" otrās projektu iesniegumu atlases kārtas "Daudzpusīgas profesionālās mākslas pieejamības nodrošināšana nacionālas vai reģionālas nozīmes attīstības centros Latvijā"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struktūrfondu un Kohēzijas fonda 2014.–2020. gada plānošanas perioda vadības likuma</w:t>
      </w:r>
      <w:r w:rsidR="00000000" w:rsidRPr="00000000" w:rsidDel="00000000">
        <w:rPr>
          <w:rStyle w:val="paragraph"/>
          <w:i w:val="1"/>
          <w:rtl w:val="0"/>
        </w:rPr>
        <w:t xml:space="preserve"> 20.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"Pasākumi Covid-19 pandēmijas seku mazināšanai" 13.1.4. specifiskā atbalsta mērķa "Atveseļošanas pasākumi kultūras jomā" (turpmāk – specifiskais atbalsts) otro projektu iesniegumu atlases kārtu "Daudzpusīgas profesionālās mākslas pieejamības nodrošināšana nacionālas vai reģionālas nozīmes attīstības centros Latvijā" (turpmāk – otrā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otrajai atlases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iesnieguma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vai līguma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otro atlases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otrās atlases kārtas īstenošanu nodrošina Kultūras ministrija kā atbildīgā iestāde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Specifiskā atbalsta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mērķis ir sniegt atbalstu kultūras nozares organizācijām, lai mazinātu Covid-19 pandēmijas izraisītās krīzes sekas un saglabātu darba vietas organizācijās, kas darbojas kultūras un radošajās nozarēs, paātrinot kultūras nozares organizāciju pielāgošanos jaunajiem apstākļiem un veicinot plašāku kultūras pakalpojumu pieejamību, tādējādi radot pozitīvu ietekmi uz vietējām kopienām, kā arī reģionālās kultūrvides aktivizēšanos un ekonomisko attīstību.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kultūras pakalpojumu šo noteikumu ietvaros uzskatāms māksliniecisko pasākumu plāns, kuru īstenojot kultūras vērtības vai kultūras mantojums tiek padarīts pieejams sabiedrībai vai sabiedrība tiek iepazīstināta ar to.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otrās atlases kārtas mērķa grupa ir kultūras organizācijas, kas nodrošina profesionālās mākslas pieejamību, un vietējie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otrās atlases kārtas ietvaros ir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atbalstīto kultūras nozares organizāciju skaits – ne mazāk kā septiņas kultūras organizācijas,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REACT-EU 2021. gada piešķīrumam atbalstīto kultūras nozares organizāciju skaits – ne mazāk kā sešas kultūras organizācijas;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plānotajam REACT-EU 2022. gada piešķīrumam atbalstīto kultūras nozares organizāciju skaits – vismaz viena kultūras organizācija;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attīstīti ne mazāk kā septiņi jauni pakalpojumi,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REACT-EU 2021. gada piešķīrumam attīstīti jauni pakalpojumi – ne mazāk kā seši pakalpojumi;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REACT-EU 2022. gada piešķīrumam attīstīti jauni pakalpojumi – vismaz viens pakalpojums.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Specifiskajam atbalstam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Otrās atlases kārtas ietvaros pieejamais kopējais attiecināmais finansējums ir ne mazāk kā 3 850 000</w:t>
      </w:r>
      <w:r w:rsidR="00000000" w:rsidRPr="00000000" w:rsidDel="00000000">
        <w:rPr>
          <w:i w:val="1"/>
          <w:rtl w:val="0"/>
        </w:rPr>
        <w:t xml:space="preserve"> euro</w:t>
      </w:r>
      <w:r w:rsidR="00000000" w:rsidRPr="00000000" w:rsidDel="00000000">
        <w:rPr>
          <w:rtl w:val="0"/>
        </w:rPr>
        <w:t xml:space="preserve">, tai skaitā Eiropas Reģionālās attīstības fonda finansējums – ne vairāk kā 3 272 500 </w:t>
      </w:r>
      <w:r w:rsidR="00000000" w:rsidRPr="00000000" w:rsidDel="00000000">
        <w:rPr>
          <w:i w:val="1"/>
          <w:rtl w:val="0"/>
        </w:rPr>
        <w:t xml:space="preserve">euro</w:t>
      </w:r>
      <w:r w:rsidR="00000000" w:rsidRPr="00000000" w:rsidDel="00000000">
        <w:rPr>
          <w:rtl w:val="0"/>
        </w:rPr>
        <w:t xml:space="preserve"> un valsts budžeta finansējums – 577 500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plānotajam REACT-EU 2021. gada piešķīrumam kopējais attiecināmais finansējums ir  2 972 274</w:t>
      </w:r>
      <w:r w:rsidR="00000000" w:rsidRPr="00000000" w:rsidDel="00000000">
        <w:rPr>
          <w:i w:val="1"/>
          <w:rtl w:val="0"/>
        </w:rPr>
        <w:t xml:space="preserve"> euro</w:t>
      </w:r>
      <w:r w:rsidR="00000000" w:rsidRPr="00000000" w:rsidDel="00000000">
        <w:rPr>
          <w:rtl w:val="0"/>
        </w:rPr>
        <w:t xml:space="preserve">, tai skaitā Eiropas Reģionālās attīstības fonda finansējums – 2 526 433</w:t>
      </w:r>
      <w:r w:rsidR="00000000" w:rsidRPr="00000000" w:rsidDel="00000000">
        <w:rPr>
          <w:i w:val="1"/>
          <w:rtl w:val="0"/>
        </w:rPr>
        <w:t xml:space="preserve"> euro</w:t>
      </w:r>
      <w:r w:rsidR="00000000" w:rsidRPr="00000000" w:rsidDel="00000000">
        <w:rPr>
          <w:rtl w:val="0"/>
        </w:rPr>
        <w:t xml:space="preserve"> un valsts budžeta finansējums – 445 841</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plānotajam REACT-EU 2022. gada piešķīrumam kopējais attiecināmais finansējums ir 877 726 </w:t>
      </w:r>
      <w:r w:rsidR="00000000" w:rsidRPr="00000000" w:rsidDel="00000000">
        <w:rPr>
          <w:i w:val="1"/>
          <w:rtl w:val="0"/>
        </w:rPr>
        <w:t xml:space="preserve">euro</w:t>
      </w:r>
      <w:r w:rsidR="00000000" w:rsidRPr="00000000" w:rsidDel="00000000">
        <w:rPr>
          <w:rtl w:val="0"/>
        </w:rPr>
        <w:t xml:space="preserve">, tai skaitā Eiropas Reģionālās attīstības fonda finansējums – 746 067 </w:t>
      </w:r>
      <w:r w:rsidR="00000000" w:rsidRPr="00000000" w:rsidDel="00000000">
        <w:rPr>
          <w:i w:val="1"/>
          <w:rtl w:val="0"/>
        </w:rPr>
        <w:t xml:space="preserve">euro</w:t>
      </w:r>
      <w:r w:rsidR="00000000" w:rsidRPr="00000000" w:rsidDel="00000000">
        <w:rPr>
          <w:rtl w:val="0"/>
        </w:rPr>
        <w:t xml:space="preserve"> un valsts budžeta finansējums –131 659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iesniedzēja maksimālais attiecināmais Eiropas Reģionālās attīstības fonda finansējuma apmērs nepārsniedz 85 procentus no kopējā projekta attiecināmā finansējuma. Pārējo finansējumu – 15 procentus no kopējā projekta attiecināmā finansējuma – veido valsts budžeta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Otrās atlases kārtas projekta iesniedzējam maksimālais pieejamais projekta finansējums ir 550 000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iesniedzēji, kas pēc sadarbības iestādes lēmuma par projekta iesnieguma apstiprināšanu kļūst par finansējuma saņēmējiem, otrās atlases kārtas ietvaros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ar ierobežotu atbildību "Vidzemes koncertzāle";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ar ierobežotu atbildību "Kurzemes filharmonija";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 ar ierobežotu atbildību "Austrumlatvijas koncertzāle";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 ar ierobežotu atbildību "Lielais Dzintars";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Daugavpils valstspilsētas pašvaldības iestāde "Daugavpils Marka Rotko mākslas centrs";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 ar ierobežotu atbildību "Dzintaru koncertzāle";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 ar ierobežotu atbildību "Liepājas teātris".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un sadarbības iestādes uzaicinājumā noteiktajā termiņā iesniedz projekta iesniegumu sadarbības iestādē saskaņā ar projekta iesniegumu atlases nolikuma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Īstenojot projektu, finansējuma saņēmējs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un publicitātes pasākumus, kas noteikti Eiropas Parlamenta un Padomes 2013. gada 17. 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Komisijas regula Nr. 1303/2013),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rezultātu ilgtspēju vismaz piecus gadus pēc tam, kad sadarbības iestāde ir veikusi noslēguma maksājumu.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uzkrāj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projekta ietekmi uz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minētajiem iznākuma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projekta ietekmi uz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minētajiem rezultāta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projekta ietvaros veikto publisko iepirkumu līgumu vērtību (</w:t>
      </w:r>
      <w:r w:rsidR="00000000" w:rsidRPr="00000000" w:rsidDel="00000000">
        <w:rPr>
          <w:i w:val="1"/>
          <w:rtl w:val="0"/>
        </w:rPr>
        <w:t xml:space="preserve">euro</w:t>
      </w:r>
      <w:r w:rsidR="00000000" w:rsidRPr="00000000" w:rsidDel="00000000">
        <w:rPr>
          <w:rtl w:val="0"/>
        </w:rPr>
        <w:t xml:space="preserve">), kuros izmantoti zaļā iepirkuma principi.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Projektā iekļauj atbalstāmās darbības, kas sekmē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specifiskā atbalsta mērķa un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uzraudzības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reģionālo daudzfunkcionālo centru darbības un daudzpusīgas profesionālās mākslas pieejamības nodrošināšana nacionālas vai reģionālas nozīmes attīstības centros Latvijas reģionos;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un īstenošanas personāla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ietvaros preču un pakalpojumu iepirkumos ir atbalstāmas vides prasības (zaļais publiskais iepirkums), lai nodrošinātu atbilstību horizontālā principa "Ilgtspējīga attīstība" projektu vērtēšanas kritērijam. Finansējuma saņēmējs piesaista preču piegādātājus un pakalpojuma sniedzējus atbilstoši normatīvajiem aktiem publisko iepirkumu jomā, īstenojot atklātu, pārredzamu, nediskriminējošu un konkurenci nodrošinošu procedūru.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Izdevumi ir attiecināmi no 2022. gada 1. janvāra.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atbalstāmās darbības,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tiešās attiecināmās projekta vadības personāla un īstenošanas personāla atlīdzības izmaksas, kuras saskaņā ar Komisijas regulas Nr. 1303/2013 68.a panta 1. punktu projekta iesniegumā plāno kā vienu izmaksu pozīciju, piemērojot izmaksu vienoto likmi 20 procentu apmērā no šo noteikumu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minētajām projekta pārējām tiešajām attiecināmajām īstenošanas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un īstenošanas personāla iekšzemes komandējumu un darba braucienu izmaksas, kam piemēro Finanšu ministrijas metodikā "Vienas vienības izmaksu standarta likmes aprēķina un piemērošanas metodika iekšzemes komandējumu izmaksām darbības programmas "Izaugsme un nodarbinātība" īstenošanai" noteiktās vienas vienības izmaksu standarta likmes;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personāla un īstenošanas personāla degvielas izmaksas vieglajam transportlīdzeklim un reģionālās starppilsētu nozīmes un reģionālās vietējas nozīmes sabiedriskā transporta izmaksas, kam piemēro Finanšu ministrijas metodikā "Vienas vienības izmaksu standarta likmes aprēķina un piemērošanas metodika 1 km izmaksām darbības programmas "Izaugsme un nodarbinātība" īstenošanai" noteiktās vienas vienības izmaksu standarta likmes;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kultūras institūciju māksliniecisko pasākumu plāna īstenošanu, nodrošinot daudzpusīgas profesionālās mākslas pieejamību nacionālas vai reģionālas nozīmes attīstības centrā, saskaņā ar atbildīgās iestādes apstiprināto ikgadējo māksliniecisko pasākumu plānu: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mārketinga un reklāmas izmaksas, tai skaitā mākslas darbu kolekcijas popularizēšanas izdevumi, izstāžu katalogu un pētījumu izdevniecības darbu izmaksas un poligrāfijas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licences izmaksas par autortiesību un blakus tiesību izmantošanu un autoratlīdzība, tai skaitā iedzīvotāju ienākuma nodoklis un valsts sociālās apdrošināšanas obligātās iemaksas;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ārpakalpojuma izmaksas, kas rodas, organizējot profesionālās mākslas koncertus, izrādes, izstādes, filmu skates vai festivālus: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 tiešsaistes tehniskā nodrošinājuma un skaņas, apgaismojuma un video nodrošināšanas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kostīmu, dekorāciju, scenogrāfijas materiālu izgatavošanas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mākslas darbu transportēšanas, uzglabāšanas, restauratoru, konservatoru un vērtētāju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koncertprogrammu un teātra viesizrāžu iegādes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kuratora pakalpojuma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maksājumi aģentūrām, uzņēmuma līgumu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ceļa un transportēšanas izdevumi, uzturēšanās izdevumi, tai skaitā viesnīcas un ēdināšanas izmaksas, apdrošināšana, tai skaitā oriģinālo mākslas darbu apdrošināšana, un iedzīvotāju ienākuma nodokļa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mākslas darbu iepirkšanas un kolekciju papildināšanas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materiālu izmaksas (ekspozīciju materiāli, teātra jauniestudējumu sagatavošanai nepieciešamie materiāli, tai skaitā scenogrāfijas materiāli, mākslinieku rezidenču un simpoziju materiāli);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mākslinieciskā plāna īstenošanai nepieciešamo iekārtu un aprīkojuma izmaksas, tai skaitā mākslas darbu krājuma telpu pielāgošana kolekcijas uzglabāšanai;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izglītības programmu, meistarklašu, rezidenču programmu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ja tās nepārsniedz trīs procentus no projekta kopējām attiecināmajām tiešajām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finansējuma saņēmējs tos nevar atgūt normatīvajos aktos par pievienotās vērtības nodokli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projekta izmaksas ir pieaugušas, salīdzinot ar lēmumā par projekta apstiprināšanu fiksētajām izmaksām, finansējuma saņēmējs sedz sadārdzinājumu no saviem līdzekļiem. Finansējuma saņēmējs sadārdzinājumu nevar segt no līdzekļiem, kas piešķirti kā publisks finansējums.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Specifiskā atbalsta otrās atlases kārtas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Projektus īsteno saskaņā ar vienošanos vai līgumu par projekta īstenošanu, bet ne ilgāk kā līdz 2023.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Pēc tam kad noslēgta vienošanās vai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finansējuma un valsts budžeta finansējuma kopsummas.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ietvaros finansējuma saņēmējiem sniedz atbalstu darbībām, kam nav saimnieciska rakstura. Ar kultūru vai mākslu saistītām darbībām, no kurām tiek gūti ieņēmumi, nav saimnieciska rakstura, ja finansējuma saņēmēja ieņēmumi ir mazāki par 50 procentiem no kopējā ar kultūru vai mākslu saistītā finansējuma saņēmēja gada budžeta.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saņēmēji 2022., 2023. un 2024. gadā līdz kārtējā gada 31. martam atbilstoši atbildīgās iestādes izstrādātajai veidlapai iesniedz atbildīgajā iestādē informāciju par iepriekšējā kalendāra gadā gūtajiem ieņēmumiem un veiktajiem izdevumiem un plānoto ieņēmumu un izdevumu prognozi par kārtējo kalendāra gadu.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saņēmējam ir pienākums nodrošināt atsevišķu grāmatvedības uzskaiti ar projekta īstenošanu saistītajiem ieņēmumiem un izdevumiem.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Atbildīgā iestāde 2022., 2023. un 2024. gadā pēc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noteiktās informācijas saņemšanas mēneša laikā izvērtē un sniedz atzinumu sadarbības iestādei par finansējuma saņēmēja atbilstību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noteiktajām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māksliniecisko pasākumu plānu par 2022. gadu atbildīgajā iestādē iesniedz līdz 2022. gada 2. maijam, bet par 2023. gadu – līdz 2022. gada 15. novembrim. Māksliniecisko pasākumu plāns par kārtējo gadu tiek aizpildīts atbilstoši atbildīgās iestādes izstrādātajai veidlapai.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Specifiskā atbalsta otrās atlases kārtas finansējuma saņēmējs projekta īstenošanas laikā iesniedz atbildīgajā iestādē precizētu māksliniecisko pasākumu plānu šādos gadījumos: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māksliniecisko pasākumu plānu nepieciešams papildināt ar jauniem pasākumiem;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kāds no māksliniecisko pasākumu plāna pasākumiem tiek atcelts un tā īstenošanu nevar nodrošināt līdz 2023.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Atbildīgā iestāde izveido darba grupu, kas izskata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noteiktajā kārtībā iesniegtos māksliniecisko pasākumu plānus un mēneša laikā no to iesniegšanas atbildīgajā iestādē sniedz atzinumu sadarbības iestādei par māksliniecisko pasākumu plānu atbilstību specifiskā atbalsta otrās atlases kārtas īstenošanas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finansējuma saņēmējs projekta īstenošanas rezultātā gūst neto ieņēmumus, saskaņā ar Komisijas regulas Nr. 1303/2013 65. panta 8. punktu sadarbības iestāde tos atskaita no noslēguma maksājuma.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vai līguma par projekta īstenošanu jebkurā no šādiem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vai līgumu par projekta īstenošanu, tai skaitā netiek ievēroti projektā noteiktie termiņi vai ir iestājušies citi apstākļi, kas negatīvi ietekmē vai var ietekmēt specifiskā atbalsta mērķa vai specifiskā atbalsta mērķa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vienošanās vai līgums par projekta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22-TA-459</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22-TA-459</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noteikumu_projekts_22-TA-459.docx</dc:title>
</cp:coreProperties>
</file>

<file path=docProps/custom.xml><?xml version="1.0" encoding="utf-8"?>
<Properties xmlns="http://schemas.openxmlformats.org/officeDocument/2006/custom-properties" xmlns:vt="http://schemas.openxmlformats.org/officeDocument/2006/docPropsVTypes"/>
</file>