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Azartspēļu un izložu politikas pamatnostādņu  2021.–2027. gadam darba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Azartspēļu un izložu politikas pamatnostādņu 2021.–2027. gadam darba plānu (turpmāk – darba plāns).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Finanšu ministriju par atbildīgo institūciju darba plāna koordinēšanā un kontrolē.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plāna īstenošanā iesaistītajām institūcijām atbilstoši kompetencei iesniegt Finanšu ministrijā informāciju par darba plānā paredzēto pasākumu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decembrim – par laikposmu no darba plāna apstiprināšanas līdz 2023. gada 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2027. gada 30. decembrim – par laikposmu no 2024. gada 1. janvāra līdz 2027. gada 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Ministrijām un citām atbildīgajām institūcijām plānā paredzēto pasākumu īstenošanu 2021. un 2022. gadā nodrošināt atbilstoši piešķirtajiem valsts budžeta līdzekļiem. Jautājumu par papildu valsts budžeta līdzekļu piešķiršanu plānā paredzēto pasākumu īstenošanai 2023.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21-TA-416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21-TA-416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rīkojuma_projekts_21-TA-416.docx</dc:title>
</cp:coreProperties>
</file>

<file path=docProps/custom.xml><?xml version="1.0" encoding="utf-8"?>
<Properties xmlns="http://schemas.openxmlformats.org/officeDocument/2006/custom-properties" xmlns:vt="http://schemas.openxmlformats.org/officeDocument/2006/docPropsVTypes"/>
</file>