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625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3. oktobrī (prot. Nr. 40 15.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nacionālo interešu objekta statusa noteikšanu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Teritorijas attīstības plānošanas likuma 7. panta</w:t>
      </w:r>
      <w:r w:rsidR="00000000" w:rsidRPr="00000000" w:rsidDel="00000000">
        <w:rPr>
          <w:rtl w:val="0"/>
        </w:rPr>
        <w:t xml:space="preserve"> pirmās daļas 11. punktu un </w:t>
      </w:r>
      <w:r w:rsidR="00000000" w:rsidRPr="00000000" w:rsidDel="00000000">
        <w:rPr>
          <w:rtl w:val="0"/>
        </w:rPr>
        <w:t xml:space="preserve">17. panta</w:t>
      </w:r>
      <w:r w:rsidR="00000000" w:rsidRPr="00000000" w:rsidDel="00000000">
        <w:rPr>
          <w:rtl w:val="0"/>
        </w:rPr>
        <w:t xml:space="preserve"> pirmo un otro daļu, kā arī ņemot vērā Valsts aizsardzības koncepcijā minētos mērķus un uzdevumus, noteikt nacionālo interešu objekta statusu nekustamajam īpašumam "Zalves" (nekustamā īpašuma kadastra Nr. 4060 001 0056) Pamūšā, Gailīšu pagastā, Bauskas novadā.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Ekonomikas ministrijai nodrošināt, ka divu mēnešu laikā pēc nacionālo interešu objekta statusa noteikšanas informācija par nacionālo interešu objektu un tā funkcionēšanai nepieciešamo teritoriju tiek iekļauta Teritorijas attīstības plānošanas informācijas sistēmā.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25-TA-2129</w:t>
    </w:r>
    <w:r>
      <w:br/>
    </w:r>
    <w:r w:rsidR="00000000" w:rsidRPr="00000000" w:rsidDel="00000000">
      <w:rPr>
        <w:rtl w:val="0"/>
      </w:rPr>
      <w:t xml:space="preserve">Izdrukāts 29.07.2026. 23.57 - 1.0.VK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25-TA-2129</w:t>
    </w:r>
    <w:r>
      <w:br/>
    </w:r>
    <w:r w:rsidR="00000000" w:rsidRPr="00000000" w:rsidDel="00000000">
      <w:rPr>
        <w:rtl w:val="0"/>
      </w:rPr>
      <w:t xml:space="preserve">Izdrukāts 29.07.2026. 23.57 - 1.0.VK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rīkojuma_projekts_25-TA-2129.docx</dc:title>
</cp:coreProperties>
</file>

<file path=docProps/custom.xml><?xml version="1.0" encoding="utf-8"?>
<Properties xmlns="http://schemas.openxmlformats.org/officeDocument/2006/custom-properties" xmlns:vt="http://schemas.openxmlformats.org/officeDocument/2006/docPropsVTypes"/>
</file>