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6.</w:t>
      </w:r>
      <w:r w:rsidR="00000000" w:rsidRPr="00000000" w:rsidDel="00000000">
        <w:rPr>
          <w:rtl w:val="0"/>
        </w:rPr>
        <w:t xml:space="preserve"> </w:t>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2010.gada 23.februāra</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178</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Trakumsērgas apkarošanas pasākumu plāna paraugs</w:t>
      </w:r>
    </w:p>
    <w:p w:rsidP="00000000" w:rsidRDefault="00000000" w:rsidR="00000000" w:rsidRPr="00000000" w:rsidDel="00000000">
      <w:pPr>
        <w:pStyle w:val="paragraph"/>
        <w:contextualSpacing w:val="0"/>
        <w:jc w:val="center"/>
        <w:spacing w:lineRule="auto" w:line="240"/>
        <w:pBdr/>
        <w:rPr>
          <w:i w:val="1"/>
          <w:rtl w:val="0"/>
        </w:rPr>
      </w:pPr>
      <w:r w:rsidR="00000000" w:rsidRPr="00000000" w:rsidDel="00000000">
        <w:rPr>
          <w:rStyle w:val="paragraph"/>
          <w:i w:val="1"/>
          <w:rtl w:val="0"/>
        </w:rPr>
        <w:t xml:space="preserve"/>
      </w:r>
      <w:r w:rsidR="00000000" w:rsidRPr="00000000" w:rsidDel="00000000">
        <w:rPr>
          <w:rStyle w:val="paragraph"/>
          <w:i w:val="1"/>
          <w:rtl w:val="0"/>
        </w:rPr>
        <w:t xml:space="preserve">(Pielikums grozīts ar MK 01.03.2011. noteikumiem Nr. 174; MK 27.03.2012. noteikumiem Nr. 209; MK 02.07.2019. noteikumiem Nr. 297)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227"/>
        <w:gridCol w:w="5401"/>
        <w:gridCol w:w="1760"/>
        <w:gridCol w:w="1856"/>
        <w:tblGridChange w:id="0">
          <w:tblGrid>
            <w:gridCol w:w="227"/>
            <w:gridCol w:w="5401"/>
            <w:gridCol w:w="1760"/>
            <w:gridCol w:w="1856"/>
          </w:tblGrid>
        </w:tblGridChange>
      </w:tblGrid>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Nr. p.k.</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Veicamie pasākumi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Izpildes termiņš</w:t>
            </w:r>
            <w:r>
              <w:tab/>
            </w:r>
            <w:r>
              <w:br/>
            </w:r>
            <w:r w:rsidR="00000000" w:rsidRPr="00000000" w:rsidDel="00000000">
              <w:rPr>
                <w:rtl w:val="0"/>
              </w:rPr>
              <w:t xml:space="preserve">(no ______ līdz _______)</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Atbildīgais par pasākuma izpildi</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Skartajā punktā un apdraudētajā teritorijā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Noteikt ierobežojuma ilgumu vismaz uz 30 dienām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darbdienas laikā pēc ziņojuma saņemšanas par apstiprinātu trakumsērgas diagnozi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veterinārā dienesta attiecīgā teritoriālā struktūrvienība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pasākumu īstenošanas kontroli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ierobežojuma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veterinārā dienesta attiecīgā teritoriālā struktūrvienība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Nodrošināt epidemioloģisko izmeklēšanu un kontaktpersonu (cilvēku, kas bijuši kontaktā ar dzīvnieku, kurš ir slims ar trakumsērgu, vai šāda dzīvnieka līķi) noteikšanu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pēc ziņojuma saņemšanas par apstiprinātu trakumsērgas diagnozi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Slimību profilakses un kontroles centrs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Informēt administratīvās (attiecīgās) teritorijas iedzīvotājus par trakumsērgas gadījumu un tā apkarošanas pasākumiem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pēc ziņojuma saņemšanas par apstiprinātu trakumsērgas diagnozi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Attiecīgā pašvaldība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 skartajā punktā un apdraudētajā teritorijā dzīvnieku izstādes, sacensības un citus pasākumus ar dzīvnieku piedalīšanos (medības rīko, ja Valsts meža dienesta attiecīgā teritoriālā struktūrvienība to norisi saskaņo ar valsts galveno pārtikas un veterināro inspektoru)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ierobežojuma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veterinārā dienesta attiecīgā teritoriālā struktūrvienība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Organizēt nelimitēto medījamo dzīvnieku medīšanu un nogādāt savvaļas dzīvnieku līķus valsts zinātniskajā institūtā "Pārtikas drošības, dzīvnieku veselības un vides zinātniskais institūts" trakumsērgas diagnozes noteikšanai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ierobežojuma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Valsts meža dienesta attiecīgā teritoriālā struktūrvienība</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Ja piešķirts no trakumsērgas brīvas valsts statuss, organizē ārkārtas savvaļas dzīvnieku perorālo vakcināciju pret trakumsērgu, ja vien gaisa temperatūra nav zemāka par 0 °C</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Nekavējoties pēc ziņojuma saņemšanas par apstiprinātu trakumsērgas diagnozi savvaļas dzīvniekam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r w:rsidR="00000000" w:rsidRPr="00000000" w:rsidDel="00000000">
              <w:rPr>
                <w:vertAlign w:val="superscript"/>
                <w:rtl w:val="0"/>
              </w:rPr>
              <w:t xml:space="preserve">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Informē biedrību "Latvijas Pašvaldību savienība", Slimību profilakses un kontroles centru un Valsts meža dienestu par plānoto savvaļas dzīvnieku vakcināciju un piesardzības pasākumiem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Pirms tiek uzsākta tabulas 6.</w:t>
            </w:r>
            <w:r w:rsidR="00000000" w:rsidRPr="00000000" w:rsidDel="00000000">
              <w:rPr>
                <w:vertAlign w:val="superscript"/>
                <w:rtl w:val="0"/>
              </w:rPr>
              <w:t xml:space="preserve">1</w:t>
            </w:r>
            <w:r w:rsidR="00000000" w:rsidRPr="00000000" w:rsidDel="00000000">
              <w:rPr>
                <w:rtl w:val="0"/>
              </w:rPr>
              <w:t xml:space="preserve"> punktā minētā savvaļas dzīvnieku perorālā vakcinācija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Pārtikas un veterinārais dienests</w:t>
            </w:r>
          </w:p>
        </w:tc>
      </w:tr>
      <w:tr>
        <w:tc>
          <w:tcPr>
            <w:shd w:fill="ffffff"/>
            <w:vAlign w:val="center"/>
            <w:noWrap w:val="true"/>
            <w:gridSpan w:val="4"/>
            <w:tcMar>
              <w:top w:w="30.0" w:type="dxa"/>
              <w:left w:w="30.0" w:type="dxa"/>
              <w:bottom w:w="30.0" w:type="dxa"/>
              <w:right w:w="30.0" w:type="dxa"/>
            </w:tcMar>
            <w:tcBorders/>
          </w:tcPr>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Skartajā punktā</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Aizliegt pārvietot dzīvniekus ārpus skartā punkta (izņemot lauksaimniecības dzīvnieku pārvietošanu uz kautuvi tūlītējai nokaušanai)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Visā ierobežojuma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Dzīvnieka īpašnieks vai turētājs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8.</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Eitanazēt vai ievietot novērošanā nevakcinētu suni, kaķi vai mājas (istabas) sesku, kam bijis kontakts ar dzīvnieku, kuram apstiprināta trakumsērgas diagnoze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dienas laikā pēc ziņojuma saņemšanas par apstiprinātu trakumsērgas diagnozi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Dzīvnieka īpašnieks vai turētājs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Ar dzīvnieku, kuram nav Veterinārmedicīnas likumā noteikta prasība veikt trakumsērgas vakcināciju un kurš nav vakcinēts, veikt vienu no šādām darbībām: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c>
          <w:tcPr>
            <w:shd w:fill="ffffff"/>
            <w:vAlign w:val="center"/>
            <w:noWrap w:val="true"/>
            <w:vMerge w:val="restart"/>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Dzīvnieka īpašnieks vai turētājs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eitanazēt</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dienas laikā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9.2.</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pēc kontakta (sakošanas, saskrāpēšanas, apsiekalošanas vai uzbrukuma) nosūtīt uz kautuvi tūlītējai nokaušanai un līdz nosūtīšanai uz kautuvi no šāda dzīvnieka iegūto pienu pasterizēt 60 °C temperatūrā no 5 līdz 10 minūtēm pirms lietošanas cilvēka uzturā vai izēdināšanas dzīvniekiem</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dienu laikā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9.3.</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vakcinēt pret trakumsērgu</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dienas laikā</w:t>
            </w:r>
          </w:p>
        </w:tc>
        <w:tc>
          <w:tcPr>
            <w:shd w:fill="ffffff"/>
            <w:vAlign w:val="center"/>
            <w:noWrap w:val="true"/>
            <w:vMerge w:val="contin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9.4.</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eitanazēt vai ievietot novērošanā vismaz uz 45 dienām nevakcinētu suni, kaķi vai mājas (istabas) sesku, kam bijis kontakts ar dzīvnieku, kuram apstiprināta trakumsērgas diagnoze</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Vienas dienas laikā pēc ziņojuma saņemšanas par apstiprinātu trakumsērgas diagnozi</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Dzīvnieka īpašnieks vai turētājs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10.</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Pienu, kas iegūts no dzīvnieka, par kuru ir aizdomas par saslimšanu ar trakumsērgu, iznīcināt vai termiski apstrādāt, izmantojot metodes, kas nodrošina trakumsērgas ierosinātāja iznīcināšanu (pēc termiskās apstrādes šādu pienu var izmantot dzīvnieku barībā)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Novērošanas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Dzīvnieka īpašnieks vai turētājs</w:t>
            </w:r>
          </w:p>
        </w:tc>
      </w:tr>
      <w:tr>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11.</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Gaļu un blakusproduktus, kas iegūti no dzīvnieka, par kuru ir bijušas aizdomas par saslimšanu ar trakumsērgu, un kas nav paredzēti cilvēku uzturam, pārstrādāt vai iznīcināt saskaņā ar Eiropas Parlamenta un Padomes 2009.gada 21.oktobra Regulu (EK) Nr.1069/2009, ar ko nosaka veselības aizsardzības noteikumus attiecībā uz dzīvnieku izcelsmes blakusproduktiem un atvasinātajiem produktiem, kuri nav paredzēti cilvēku patēriņam, un ar ko atceļ Regulu (EK) Nr.1774/2002 (Dzīvnieku izcelsmes blakusproduktu regula)</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Triju dienu laikā</w:t>
            </w:r>
          </w:p>
        </w:tc>
        <w:tc>
          <w:tcPr>
            <w:shd w:fill="ffffff"/>
            <w:vAlign w:val="center"/>
            <w:noWrap w:val="true"/>
            <w:tcMar>
              <w:top w:w="30.0" w:type="dxa"/>
              <w:left w:w="30.0" w:type="dxa"/>
              <w:bottom w:w="30.0" w:type="dxa"/>
              <w:right w:w="30.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Dzīvnieka īpašnieks vai turētājs</w:t>
            </w:r>
          </w:p>
        </w:tc>
      </w:tr>
    </w:tbl>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24-TA-2498</w:t>
    </w:r>
    <w:r>
      <w:br/>
    </w:r>
    <w:r w:rsidR="00000000" w:rsidRPr="00000000" w:rsidDel="00000000">
      <w:rPr>
        <w:rtl w:val="0"/>
      </w:rPr>
      <w:t xml:space="preserve">Izdrukāts 29.07.2026. 22.28 - 1.0.VK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24-TA-2498</w:t>
    </w:r>
    <w:r>
      <w:br/>
    </w:r>
    <w:r w:rsidR="00000000" w:rsidRPr="00000000" w:rsidDel="00000000">
      <w:rPr>
        <w:rtl w:val="0"/>
      </w:rPr>
      <w:t xml:space="preserve">Izdrukāts 29.07.2026. 22.28 - 1.0.VK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noteikumu_konsolidētā_versija_p6_24-TA-2498.docx</dc:title>
</cp:coreProperties>
</file>

<file path=docProps/custom.xml><?xml version="1.0" encoding="utf-8"?>
<Properties xmlns="http://schemas.openxmlformats.org/officeDocument/2006/custom-properties" xmlns:vt="http://schemas.openxmlformats.org/officeDocument/2006/docPropsVTypes"/>
</file>