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7. maijā (prot. Nr. 19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2.2.1. specifiskā atbalsta mērķa "Veicināt ilgtspējīgu ūdenssaimniecību" 2.2.1.1. pasākuma "Notekūdeņu un to dūņu apsaimniekošanas sistēmas attīstība piesārņojuma samazināšanai" (turpmāk – pasākums) pirmo projektu iesniegumu atlases kārtu (turpmāk – atlases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atlases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kārtai plānoto un pieejamo kopējo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atlases kārtas mērķis ir uzlabot ūdenssaimniecības pakalpojumu efektivitāti, nodrošinot atbilstošas infrastruktūras jaudas, uzlabojot darbības efektivitāti, kā arī samazinot piesārņojumu.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Atlases kārtas mērķteritorija ir Latvijas Republikas aglomerācijas ar cilvēkekvivalentu 10 000–100 000.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Atlases kārtas ietvaros sasniedzamie uzraudzības rādītāji un to vērtības, kas sasniedzamas līdz 2029.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rādītājs – atbalstītie uzņēmumi (tai skaitā mikrouzņēmumi, mazie, vidējie un lielie uzņēmumi). Iznākuma rādītāja vērtība tiek sasniegta, ja atlases kārtas projektu ietvaros veikti ieguldījumi, nodrošinot atbalstu vismaz 15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rezultāta rādītājs – iedzīvotāji, kuriem uzlabota notekūdeņu attīrīšanas kvalitāte un efektivitāte. Rezultāta rādītāja vērtība tiek sasniegta, ja atlases kārtas projektu ietvaros veikti ieguldījumi, lai nodrošinātu, ka iedzīvotāju skaits, kuriem uzlabota notekūdeņu attīrīšanas efektivitāte, ir vismaz 713 510 iedzīvotāji.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4.2. apakšpunktā minēto rezultāta rādītāja vērtību uzskata par sasniegtu pēc noslēguma maksājuma veikšanas, aprēķinos izmantojot jaunākos pieejamos projekta iesniedzēja datus par iedzīvotāju skaitu, kuriem nodrošināti centralizētās notekūdeņu apsaimniekošanas sistēmas pakalpojumi, un demogrāfisko rādītāju izmaiņu ietekmi uz vērtības izmaiņām. Projektā sasniegtā rezultāta rādītāja vērtība nedrīkst pārsniegt iedzīvotāju skaitu, kuriem konkrētajā aglomerācijā nodrošināti centralizētās notekūdeņu apsaimniekošanas sistēmas pakalpojumi.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Atlases kārtu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Atlases kārtas ietvaros atbildīgās iestādes funkcijas pilda Vides aizsardzības un reģionālās attīstības ministrija (turpmāk – atbildīgā iestāde).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Atlases kārtai pieejamais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Atlases kārtas ietvaros plānotais un pieejamais kopējais finansējums ir ne mazāks kā 79 322 945 </w:t>
      </w:r>
      <w:r w:rsidR="00000000" w:rsidRPr="00000000" w:rsidDel="00000000">
        <w:rPr>
          <w:i w:val="1"/>
          <w:rtl w:val="0"/>
        </w:rPr>
        <w:t xml:space="preserve">euro</w:t>
      </w:r>
      <w:r w:rsidR="00000000" w:rsidRPr="00000000" w:rsidDel="00000000">
        <w:rPr>
          <w:rtl w:val="0"/>
        </w:rPr>
        <w:t xml:space="preserve">, tai skaitā Eiropas Reģionālās attīstības fonda finansējums – 51 559 916 </w:t>
      </w:r>
      <w:r w:rsidR="00000000" w:rsidRPr="00000000" w:rsidDel="00000000">
        <w:rPr>
          <w:i w:val="1"/>
          <w:rtl w:val="0"/>
        </w:rPr>
        <w:t xml:space="preserve">euro </w:t>
      </w:r>
      <w:r w:rsidR="00000000" w:rsidRPr="00000000" w:rsidDel="00000000">
        <w:rPr>
          <w:rtl w:val="0"/>
        </w:rPr>
        <w:t xml:space="preserve">un privātais līdzfinansējums – ne mazāks kā 27 763 029</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tiek samazināts pasākumam pieejamais elastības finansējuma apmērs, atlases kārtas ietvaros plānotais un pieejamais kopējais finansējums ir ne mazāks kā 79 769 791 </w:t>
      </w:r>
      <w:r w:rsidR="00000000" w:rsidRPr="00000000" w:rsidDel="00000000">
        <w:rPr>
          <w:i w:val="1"/>
          <w:rtl w:val="0"/>
        </w:rPr>
        <w:t xml:space="preserve">euro</w:t>
      </w:r>
      <w:r w:rsidR="00000000" w:rsidRPr="00000000" w:rsidDel="00000000">
        <w:rPr>
          <w:rtl w:val="0"/>
        </w:rPr>
        <w:t xml:space="preserve">, tai skaitā Eiropas Reģionālās attīstības fonda finansējums – 51 850 364 </w:t>
      </w:r>
      <w:r w:rsidR="00000000" w:rsidRPr="00000000" w:rsidDel="00000000">
        <w:rPr>
          <w:i w:val="1"/>
          <w:rtl w:val="0"/>
        </w:rPr>
        <w:t xml:space="preserve">euro</w:t>
      </w:r>
      <w:r w:rsidR="00000000" w:rsidRPr="00000000" w:rsidDel="00000000">
        <w:rPr>
          <w:rtl w:val="0"/>
        </w:rPr>
        <w:t xml:space="preserve"> un privātais līdzfinansējums – ne mazāks kā 27 919 427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atlases kārtas ietvaros pieejamais Eiropas Reģionālās attīstības fonda finansējums netiek izmantots, atlikušo Eiropas Reģionālās attīstības fonda finansējumu, sadarbības iestādei vienojoties ar atbildīgo iestādi par atlases nosacījumiem, novirza nākamo pasākuma atlases kārtu vai citu specifiskā atbalsta mērķa pasākumu organizēšanai.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Atlases kārtas ietvaros Eiropas Reģionālās attīstības fonda finansējuma atbalsta intensitāte nepārsniedz 65 procentus no kopējām attiecināmajām izmaksām un nacionālā līdzfinansējuma apmērs, ko veido privātais finansējums, ir vismaz 35 procenti no projekta kopējā attiecināmā finansējuma.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Atlases kārtā atbalsts tiek sniegts granta veidā.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 iesnieguma maksimālais Eiropas Reģionālās attīstības fonda finansējums vienas aglomerācijas ietvaros īstenotajam projektam ir 3 500 000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Atlases kārtas ietvaros vienas aglomerācijas ietvaros var iesniegt ne vairāk kā vienu projekta iesniegumu.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Atlases kārtas ietvaros projekta iesniedzējs, kas pēc projekta iesnieguma apstiprināšanas kļūst par finansējuma saņēmēju, ir sabiedrisko ūdenssaimniecības pakalpojumu sniedzējs – kapitālsabiedrība, kurai ar pašvaldību ir noslēgts pakalpojuma līgums par sabiedrisko ūdenssaimniecības pakalpojumu sniegšanu (turpmāk – pakalpojuma līgums).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Pakalpojuma līgumā norāda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sabiedrisko ūdenssaimniecības pakalpojumu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sabiedrisko ūdenssaimniecības pakalpojumu sniegšanas teritoriju;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sabiedrisko ūdenssaimniecības pakalpojumu sniedzējam piešķirto ekskluzīvo vai īpašo tiesību būtību, tajā skaitā norādot atbilstošo pašvaldības administratīvo teritoriju vai pašvaldības administratīvās teritorijas daļu un konkrētos sniedzamos sabiedriskos ūdenssaimniecības pakalpojumus;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sabiedrisko ūdenssaimniecības pakalpojumu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Komercdarbības atbalstu sabiedrisko ūdenssaimniecības pakalpojumu sniedzējiem piešķir kā kompensāciju par sabiedriskajiem pakalpojumiem dažiem uzņēmumiem, kuriem uzticēts sniegt pakalpojumus ar vispārēju tautsaimniecisku nozīmi.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iesniedzējam kā grūtībās nonākušam uzņēmumam komercdarbības atbalsts netiek piešķirts, ja tas atbilst vismaz vienai no Komisijas 2014. gada 17. jūnija Regulas Nr. 651/2014, ar ko noteiktas atbalsta kategorijas atzīst par saderīgām ar iekšējo tirgu, piemērojot Līguma 107. un 108. pantu (Eiropas Savienības Oficiālais Vēstnesis, 2014. gada 26. jūnijs, Nr. L 187), 2. panta 18. punktā minētajām pazīmēm.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Komercdarbības atbalsta saņēmējs un vispārējas tautsaimnieciskas nozīmes pakalpojuma pilnvarojuma uzlicējs nodrošina, ka pilnvarojuma periodā un vismaz 10 gadus pēc pilnvarojuma perioda beigām tiek saglabāta un nodrošināta pieejamība projekta izmaksas pamatojošajiem dokumentiem, visai ar projektu saistītajai dokumentācijai un visai nepieciešamajai informācijai, lai noteiktu, vai piešķirtais atbalsts ir atbilstošs komercdarbības atbalsta piešķiršanas nosacījumiem vispārējas tautsaimnieciskas nozīmes pakalpojumu 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iesniedz sadarbības iestādē vispārējas tautsaimnieciskas nozīmes pakalpojuma pilnvarojuma uzlicēja apliecinājumu par šo noteikumu 16.6.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tiek pārkāptas šajos noteikumos noteiktās komercdarbības atbalsta piešķiršanas prasības vispārējas tautsaimnieciskas nozīmes pakalpojuma sniegšanai, atbalsta saņēmējam ir pienākums atmaksāt sadarbības iestādei visu projekta ietvaros saņemto nelikumīgo komercdarbības atbalstu kopā ar procentiem saskaņā ar Komercdarbības atbalsta kontroles likuma IV vai V nodaļu.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iesniedzējam ir īpašuma tiesības uz nekustamo īpašumu, tai skaitā zemi un infrastruktūru, kurā tiks veiktas projektā paredzētās darbības, uz termiņu, kas nav mazāks par 30 gadiem no projekta iesnieguma iesniegšanas dienas sadarbības iestādē (īpašuma tiesības nostiprinātas zemesgrāmatā līdz pirmā maksājuma pieprasījuma iesniegšanai sadarbības iestādē). Ja projektā paredzētas šo noteikumu 28.2. apakšpunktā minētās darbības, projektā iesaistītajam cita īpašnieka zemesgabalam ir noteikts apgrūtinājums.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nekustamais īpašums (zeme), kurā tiks veiktas projektā paredzētās darbības, atrodas brīvostas teritorijā, projekta iesniedzējam ir spēkā esošs līgums par apbūves tiesību un projekta iesniedzējs apliecina, ka īpašuma tiesības tiks iegūtas un nostiprinātas zemesgrāmatā līdz noslēguma maksājuma pieprasījuma iesniegšanai sadarbības iestādē, vai, ja projektā nav slēdzams būvdarbu līgums darbību īstenošanai brīvostas teritorijā, projekta iesniedzējs apliecina, ka projekta dzīves ciklā tam būs spēkā esošs nomas līgums vai līgums par apbūves tiesību uz zemesgabalu, kurā veiktas darbības projekta ietvaros. Ja projektā paredzētas šo noteikumu 28.2. apakšpunktā minētās darbības, projektā iesaistītajam cita īpašnieka zemesgabalam ir noteikts apgrūtinājums.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iesniedz to sadarbības iestādē, izmantojot Kohēzijas politikas fondu vadības informācijas sistēmu, tai skaitā apliecina projekta iesniedzēja interešu konflikta neesību.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atbilstoši sadarbības iestādes izstrādātajiem metodiskajiem norādījumiem veic projekta izmaksu un ieguvumu analīzi (finanšu analīzi un ekonomisko analīzi), ievērojot, ka projekta: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ienesīguma norma ir lielāka par sociālā diskonta likmi;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neto pašreizējā vērtība ir lielāka par nulli;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cikls ir 30 gadi.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ievēro horizontālos principus "Vienlīdzība, iekļaušana, nediskriminācija un pamattiesību ievērošana", "Nenodarīt būtisku kaitējumu", "Energoefektivitāte pirmajā vietā", "Klimatdrošināšana" un Eiropas Savienības un Latvijas Republikas normatīvos aktus vides aizsardzības jomā,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 apliecinājumu, ka būvdarbu veicējiem vai pakalpojumu sniedzējiem projekta iesniedzējs noteiks pienākumu,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elektrisko un elektronisko iekārtu atkritumi un citi atkritumi tiks apsaimniekoti atbilstoši Atkritumu apsaimniekošanas likuma un atkritumu apsaimniekošanas jomas normatīvo aktu prasībām – tiks nodrošināta to savākšana, atkalizmantošana, sagatavošana pārstrādei un reģenerācijai, kā arī pārstrāde vai reģenerācija sadarbībā ar attiecīgu piesārņojošās darbības atļauju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materiāli, kas satur azbestu,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būvniecības procesa laikā tiks nodrošināti labākie pieejamie tehniskie risinājumi trokšņu, putekļu un piesārņojuma emisiju samazināšanai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70 procenti (pēc masas) no būvgružiem un ēku nojaukšanas atkritumiem, kas nav bīstami un būvlaukumā radušies būvniecības laikā (izņemot dabiskos materiālus), tiks sagatavoti atkalizmantošanai, pārstrādei un citu materiālu reģenerācijai (tostarp aizbēršanas darbībām, kurās atkritumus izmanto citu materiālu aizstāšanai) (ja attiecināms);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būvniecības procesa laikā tiks ievērotas prasības par koku ciršanas aizliegumu putnu ligzdošanas periodā un nodrošināta esošo koku veselības stāvokļa aizsardzība, tai skaitā nekaitējot koku saknēm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nodrošina atbilstību tādiem aspektiem kā klimata pārmaiņu mazināšana un pielāgošanās klimata pārmaiņām;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projektā paredz enerģijas ietaupījumu vai pasākumus, kas kopumā vai daļēji ir aizstājami ar izmaksefektīviem, tehniski, ekonomiski un videi nekaitīgiem alternatīviem pasākumiem un vienlīdz efektīvi nodrošina attiecīgo mērķu sasniegšanu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projektā veic siltumnīcefekta gāzu emisiju ietaupījuma aprēķinu,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projektā paredz darbības, kas veicina horizontālā principa "Vienlīdzība, iekļaušana, nediskriminācija un pamattiesību ievērošana"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Atbalstāmās darbības plāno saskaņā ar Notekūdeņu apsaimniekošanas investīciju plānu 2021.–2027. gadam vai aglomerācijai atbilstošo Upju baseinu apgabalu apsaimniekošanas un Plūdu riska pārvaldības plānu 2021.–2027. gadam, ietverot investīcijas notekūdeņu attīrīšanas kvalitātes uzlabošanai un (vai) notekūdeņu dūņu apsaimniekošanai.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iesniegumā  iekļauj šādas atbalstāmās darbības, kas ietver investīcijas infrastruktūras izveidei, pārbūvei vai atjaunošanai, kā arī tās funkcionalitātes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notekūdeņu attīrīšanas iekārtas jaudas palielināšana;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attīrīto notekūdeņu izvada atjaunošana, izbūve vai pārbūve;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notekūdeņu attīrīšanas iekārtu attīrīšanas efektivitātes uzlabošana;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dūņu atūdeņošanas un apstrādes iekārtu izveide, pārbūve vai atjaunošana, pamatojot siltumnīcefekta gāzu emisiju samazinājumu;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darbības horizontālā principa "Nenodarīt būtisku kaitējumu", "Energoefektivitāte pirmajā vietā", "Klimatdrošināšana" un "Vienlīdzība, iekļaušana, nediskriminācija un pamattiesību ievērošana"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pasākumi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Pasākuma ietvaros netiek atbalstīta nekustamā īpašuma iegāde, atkritumu apglabāšanas, notekūdeņu dūņu pārstrādes, atkritumu pārstrādes un sadedzināšanas infrastruktūras attīstīšana, piesārņoto vietu remediācija un sanācijas darbu veikšana.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Projekta attiecināmās izmaksas atlases kārtas ietvaros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un projekta īstenošanas dokumentācijas izstrāde – izmaksu un ieguvumu analīzes, siltumnīcefekta gāzu emisiju ietaupījuma aprēķina (ja attiecināms) sagatavošanas izmaksas, atbalstāmo darbību īstenošanai nepieciešamo tehnisko specifikāciju, tehnisko projektu vai būvprojektu sagatavošanas (tai skaitā ar būvniecības ieceri un būvprojekta minimālā sastāvā saistīto sagatavošanas darbu) izmaksas, būvprojekta ekspertīzes, autoruzraudzības un būvuzraudzības (tai skaitā inženiertehniskās uzraudzības) izmaksas, ja ekspertīzes vai uzraudzības veikšanu nosaka būvniecības jomu regulējošie normatīvie akti, kopā nepārsniedzot 10 procentus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tehnoloģisko iekārtu demontāžas izmaksas, ēku un būvju nojaukšanas izmaksas, ja tās tiešā veidā saistītas ar šo noteikumu 28. punktā minēto iekārtu uzstādīšanu, nepārsniedzot 10 procentus no šo noteikumu 30.3. apakšpunktā minēto iekārtu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iekārtu, mehānismu un inženiertehnisko risinājumu, kā arī tiem nepieciešamo ražošanas telpu vai to kombinācijas izmaksas, kas nodrošina lielāku notekūdeņu attīrīšanas jaudu, uzlabo notekūdeņu attīrīšanas efektivitāti, samazina vides piesārņojumu vai tā risku vai samazina siltumnīcefekta gāzu emisijas notekūdeņu dūņu apstrādes procesā, tai skaitā saistīto būvdarbu, piegādes un pakalpojumu līgumu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pasākumu izmaksas. Minētās izmaksas nepārsniedz vienu procentu no projekta kopējām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darbību īstenošanas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neparedzētie izdevumi, nepārsniedzot piecus procentus no projekta kopējām attiecināmajām izmaksām, kuru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rezerves izmaksas ne vairāk kā 10 procentu apmērā no attiecināmo būvniecības izmaksu kopsummas, ja projektā paredzētas būvniecības darbības un attiecināmajās izmaksās nav iekļauti šo noteikumu 30.6. apakšpunktā minētie neparedzētie izdevumi. Rezerves izmaksu izlietošanu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pievienotās vērtības nodokļa izmaksas, kas tiešā veidā saistītas ar projektu,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"c" apakšpunktā ietvertajiem nosacījumiem, ja tās nav atgūstamas nodokļu politiku reglamentējošos normatīvajos aktos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izmaksas ir attiecināmas, ja 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tieši saistītas ar projekta ietvaros veiktajām darbībām, ir samērīgas, pamatotas un atbilst normatīvo aktu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veiktas par aktīviem, kas ir jauni un iegādāti no trešajām personām par tirgus vērtību un kurus izmanto tikai finansējuma saņēmēja vajadzībām;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radušās pēc šo noteikumu 32. punktā noteiktā termiņa – projekta iesniegumā neiekļauj un finansējumu nepiešķir pabeigtām darbībām, izņemot šo noteikumu 30.1. apakšpunktā minētās projekta iesnieguma pamatojošās un īstenošanas dokumentācijas, tehnisko specifikāciju, tehnisko projektu vai būvprojektu sagatavošanas (tai skaitā ar būvniecības ieceri un būvprojekta minimālā sastāvā saistīto sagatavošanas darbu)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radušās uz darba līguma pamata.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Pasākuma ietvaros plāno tikai attiecināmās izmaksas. Izmaksas, kas saskaņā ar šiem noteikumiem nav iekļaujamas projektā kā attiecināmās izmaksas, ir finansējamas ārpus projekta par finansējuma saņēmēja līdzekļiem. Ārpus projekta nedrīkst paredzēt izmaksas par darbībām, kas tiešā veidā nodrošina projekta mērķa sasniegšanu, izņemot šo noteikumu 36.4. apakšpunktā minētās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Izmaksas ir attiecināmas no dienas, kad projekta iesniegums iesniegts sadarbības iestādē, izņemot šo noteikumu 30.1. apakšpunktā minētās projekta iesniegumu pamatojošās un projekta īstenošanas dokumentācijas, tehnisko specifikāciju, tehnisko projektu vai būvprojektu sagatavošanas (tai skaitā ar būvniecības ieceri un būvprojekta minimālā sastāvā saistīto sagatavošanas darbu) izmaksas, kas ir attiecināmas, ja tās veiktas pēc 2021. gada 1. janvāra.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Atlases kārtas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projektu īsteno atbilstoši noslēgtajā civiltiesiskajā līgumā par projekta īstenošanu noteiktajam termiņam,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Projekta īstenošanas vieta ir Latvijas Republikas teritorija, notekūdeņu attīrīšanas iekārtu un ar tām funkcionāli saistītā teritorija, izņemot šo noteikumu 28.2. apakšpunktā minēto gadījumu, kurā darbības ir īstenojamas arī zemesgabalos, kuros ir noteikts apgrūtinājums par labu finansējuma saņēmējam.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4. punktā minēto rādītāju vērtībām un sniedz šo informāciju sadarbības iestādei;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horizontālos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 (tai skaitā veic ietekmes uz vidi novērtējumu vai sākotnējo izvērtējumu,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sabiedrisko pakalpojumu sniedzēju iepirkumus regulējošo normatīvo aktu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saviem līdzekļiem sedz projekta īstenošanas gaitā radušos sadārdzinājumu un citas papildu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dubultā finansējuma neiestāšanos, tostarp, ka projektā plānotie darbi netiek finansēti vai līdzfinansēti, kā arī tos nav plānots finansēt vai līdzfinansēt no citiem valsts vai ārvalstu finanšu atbalsta instrumentiem;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 retāk kā reizi sešos mēnešos savā tīmekļvietnē ievieto aktuālo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ir saņemtas visas vides aizsardzības vai būvniecības jomu reglamentējošos normatīvajos aktos noteiktās atļaujas, kas nepieciešamas, lai  īstenotu projektā plānotos tehnoloģiskos risinājumus un veiktu  būvniecību vai iekārtu uzstādīšanu (attiecībā uz atbilstošu piesārņojošās darbības atļauju nodrošina, ka tā tiek saņemta vismaz līdz noslēguma maksājuma pieprasījumam);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vismaz piecus gadus pēc noslēguma maksājuma veikšanas projektā ieguldītās investīcijas un radītos pamatlīdzekļus izmanto projektā paredzētajam mērķim;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vismaz piecus gadus pēc noslēguma maksājuma veikšanas nodrošina ieguldīto investīciju ilgtspēju un uzturēšanu darba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ietvaros, veicot iepirkumus, ievēro, ka iepirkumu procedūras tiek veiktas saskaņā ar normatīvo aktu prasībām sabiedrisko pakalpojumu sniedzēju iepirkumu jomā, īstenojot atklātu, pārredzamu, nediskriminējošu un konkurenci nodrošinošu iepirkuma procedūru, un nodrošina vides prasību integrāciju preču, pakalpojumu un būvdarbu iepirkumos (zaļais publiskais iepirkums), kā arī izvērtē sociāli atbildīga un inovatīva publiskā iepirkuma nosacījumu piemērošanu.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un tā pamatojumu un pamatojoties uz finansējuma saņēmēja rakstisku avansa pieprasījumu, var piešķirt finansējuma saņēmējam avansu pēc tam, kad noslēgts civiltiesiskais līgums. Finansējuma saņēmējs avansa pieprasījumu sagatavo un sadarbības iestāde to apstiprina, ņemot vērā nosacījumu, ka plānotā avansa apmērs atbilst spējai to izlietot sešu mēnešu laikā.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Komercdarbības atbalstu, kas piešķirts šo noteikumu ietvaros, drīkst kumulēt ar citu komercdarbības atbalstu, kas sniegts kā kompensācija par sabiedriskajiem pakalpojumiem dažiem uzņēmumiem, kuriem uzticēts sniegt pakalpojumus ar vispārēju tautsaimniecisku nozīmi, citas atbalsta programmas vai individuālā atbalsta projekta ietvaros par vienām un tām pašām attiecināmajām izmaksām, ja pēc atbalstu apvienošanas atbalsta vienībai vai izmaksu pozīcijai attiecīgā maksimālā atbalsta intensitāte nepārsniedz 100 procentus.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9. punktu piemēro no dienas, kad Eiropas Komisijā ir apstiprināti Eiropas Savienības kohēzijas politikas programmas 2021.–2027. gadam grozījumi, kas paredz finansējuma pārdali Vides aizsardzības un reģionālās attīstības ministrijas specifiskajos atbalsta mērķos no 2. politikas mērķa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uz 4. politikas mērķi "Sociālāka un iekļaujošāka Eiropa, īstenojot Eiropas sociālo tiesību pīlāru", samazinot finansējumu 2.2. prioritātē "Vides aizsardzība un attīstība" un palielinot 4.2. prioritātē "Izglītība, prasmes un mūžizglītība".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piemērots šo noteikumu 9. punkts, šo noteikumu 8. punktu nepiemēro.</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23-TA-3286</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23-TA-3286</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noteikumu_projekts_23-TA-3286.docx</dc:title>
</cp:coreProperties>
</file>

<file path=docProps/custom.xml><?xml version="1.0" encoding="utf-8"?>
<Properties xmlns="http://schemas.openxmlformats.org/officeDocument/2006/custom-properties" xmlns:vt="http://schemas.openxmlformats.org/officeDocument/2006/docPropsVTypes"/>
</file>