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618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oktobrī (prot. Nr. 44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11. februāra noteikumos Nr. 92 "Starptautiskās kravu loģistikas un ostu informācijas sistēmas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w:t>
      </w:r>
      <w:r>
        <w:br/>
      </w:r>
      <w:r w:rsidR="00000000" w:rsidRPr="00000000" w:rsidDel="00000000">
        <w:rPr>
          <w:rStyle w:val="paragraph"/>
          <w:i w:val="1"/>
          <w:rtl w:val="0"/>
        </w:rPr>
        <w:t xml:space="preserve">jūras drošības likuma</w:t>
      </w:r>
      <w:r w:rsidR="00000000" w:rsidRPr="00000000" w:rsidDel="00000000">
        <w:rPr>
          <w:rStyle w:val="paragraph"/>
          <w:i w:val="1"/>
          <w:rtl w:val="0"/>
        </w:rPr>
        <w:t xml:space="preserve"> 41.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11. februāra noteikumos Nr. 92 "Starptautiskās kravu loģistikas un ostu informācijas sistēmas noteikumi" (Latvijas Vēstnesis, 2020, 35. nr.; 2021, 155.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Sistēmā iekļauj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Komisijas 2022. gada 7. novembra Deleģētās regulas (ES) 2023/205, ar ko attiecībā uz Eiropas Jūras vienloga sistēmas vides datu kopas izveidi papildina Eiropas Parlamenta un Padomes Regulu (ES) 2019/1239 un groza tās pielikumu, II pielikumā noteiktās Eiropas Jūras vienloga sistēmas vides (EMSWe) datu kopas datu elementus;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ziņas par kuģa apgādi muitošanas kārtības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6.2.1. kuģa apgādes pieteikumu un skenētu preču pavaddokumentu (pavadzīmi);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6.2.2. skenētu preču pavaddokumentu (pavadzīmi) ar kuģa kapteiņa vai tā pilnvarotas personas veiktajām atzīmēm, kas apliecina preču piegādi uz kuģa;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informāciju par kuģim, ostai, ostas daļai vai ostas iekārtai noteikto aizsardzības līmeni;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informāciju par vietām, kurām ir ostas vai ostas iekārtas aizsardzības plāns;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informāciju par personām, kuras ir atbildīgas par ostas vai ostas iekārtas aizsardzību atbilstoši normatīvajiem aktiem kuģu, ostu un ostu iekārtu aizsardzības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ziņas par maksu par navigācijas pakalpojumiem;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ziņas par vietējo kompetento institūciju lēmumiem saistībā ar kuģu iesniegtajām formalitātēm un atļauju vai aizliegumu veikt kuģa apgādi.";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Informāciju sistēmā iesniedz un tās apriti nodrošina, izmantojot grafisko lietotāja saskarni (tai skaitā digitālās izklājlapas) vai tīmekļa pakalpes XML formātā.";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Komisijas 2022. gada 28. oktobra Īstenošanas regulas (ES) 2023/204, ar ko nosaka tehniskās specifikācijas, standartus un procedūras Eiropas Jūras vienloga sistēmas videi saskaņā ar Eiropas Parlamenta un Padomes Regulu (ES) 2019/1239 (turpmāk – īstenošanas regula 2023/204), I pielikumā noteiktais kuģu piestāšanu ostā saraksts sistēmā ir pieejams vismaz 30 dienas pēc kuģa faktiskā iziešanas laika no ostas (ATD).";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Īstenošanas regulas 2023/204 II pielikumā noteiktā informācija par kuģa pienākšanas un atiešanas laiku ir publiski pieejama vismaz 30 dienas pēc kuģa faktiskā iziešanas laika no ostas (ATD).";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 valsts drošības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deklarētājs atbilstoši Eiropas Parlamenta un Padomes 2019. gada 20. jūnija Regulas (ES) 2019/1239, ar ko izveido Eiropas Jūras vienloga sistēmas vidi un ar ko atceļ Direktīvu 2010/65/ES (turpmāk – regula 2019/1239), 2. panta 11.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datu pakalpojumu sniedzējs atbilstoši regulas 2019/1239 2. panta 13.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ostas pakalpojumu sniedzējs atbilstoši regulas 2019/1239 2. panta 15.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komersants, kas sniedz kuģa apgādes pakalpojumus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 komersants, kas sniedz kuģa būves vai remonta pakalpojumus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Sistēmas lietotāju piekļuves tiesības ir Eiropas Jūras vienloga sistēmas vides (EMSWe) lietotāju reģistra un piekļuves pārvaldības sistēmā reģistrētajiem lietotājiem un valsts jūras vienloga sistēmas (MNSW) lietotāju reģistrā reģistrētajiem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Nacionālās kompetentās institūcijas un vietējo kompetento institūciju lietotājus reģistrē Eiropas Jūras vienloga sistēmas vides (EMSWe) lietotāju reģistra un piekļuves pārvaldības sistēmā vai valsts jūras vienloga sistēmas (MNSW) lietotāju reģistrā atbilstoši to pieprasījumam. Sistēmā iekļautā informācija nacionālajai kompetentajai institūcijai un vietējo kompetento institūciju lietotājiem ir pieejama tādā apjomā, kāds nepieciešams, lai minētās institūcijas varētu pildīt savas attiecīgās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Autorizētos sistēmas lietotājus reģistrē Eiropas Jūras vienloga sistēmas vides (EMSWe) lietotāju reģistra un piekļuves pārvaldības sistēmā vai valsts jūras vienloga sistēmas (MNSW) lietotāju reģistrā. Sistēmā iekļautā informācija autorizētajiem sistēmas lietotājiem ir pieejama tādā apjomā, lai autorizētie sistēmas lietotāji varētu īstenot tiesības un izpildīt pienākumus saskaņā ar normatīvajiem aktiem attiecīgajā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Lai vietējai kompetentajai institūcijai vai autorizētajam sistēmas lietotājam tiktu piešķirta piekļuve sistēmai, vietējā kompetentā institūcija vai autorizētais sistēmas lietotājs sistēmas mērķlapas pieteikšanās sadaļā lietotāju autentifikācijai aizpilda pieteikumu sistēmas lietošanai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Pēc šo noteikumu 16. punktā minētā pieteikuma saņemšanas sistēmas pārzinis vai tā pilnvarota persona piecu darbdienu laikā pārliecinās, vai piekļuves pieprasītājs pieteikumā norādījis pilnīgu un patiesu informāciju un vai autorizētā sistēmas lietotāja pieteikumā sniegtās ziņas atbilst regulas 2019/1239 2. panta 11., 13. un 15. punktā un šajos noteikumos minētajām prasībām, un, ja atbilst, piešķir piekļuves tiesības šo noteikumu 15.</w:t>
      </w:r>
      <w:r w:rsidR="00000000" w:rsidRPr="00000000" w:rsidDel="00000000">
        <w:rPr>
          <w:vertAlign w:val="superscript"/>
          <w:rtl w:val="0"/>
        </w:rPr>
        <w:t xml:space="preserve">1</w:t>
      </w:r>
      <w:r w:rsidR="00000000" w:rsidRPr="00000000" w:rsidDel="00000000">
        <w:rPr>
          <w:rtl w:val="0"/>
        </w:rPr>
        <w:t xml:space="preserve"> un 15.</w:t>
      </w:r>
      <w:r w:rsidR="00000000" w:rsidRPr="00000000" w:rsidDel="00000000">
        <w:rPr>
          <w:vertAlign w:val="superscript"/>
          <w:rtl w:val="0"/>
        </w:rPr>
        <w:t xml:space="preserve">2</w:t>
      </w:r>
      <w:r w:rsidR="00000000" w:rsidRPr="00000000" w:rsidDel="00000000">
        <w:rPr>
          <w:rtl w:val="0"/>
        </w:rPr>
        <w:t xml:space="preserve"> punktā minētajā apjomā, bet, ja konstatē neatbilstību, atsaka piekļuvi sistēmai un paziņo par to piekļuves pieprasītājam, nosūtot informāciju uz šo noteikumu 2. pielikumā norādīto e-pasta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Sistēmas pārzinis savā tīmekļvietnē  un sistēmā publicē drošības noteikumus un lietošanas kārtību. Lai uzsāktu sistēmas izmantošanu, sistēmas lietotājs pēc piekļuves tiesību saņemšanas sistēmā apliecina, ka ir iepazinies ar minētajiem noteikumiem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Vietējai kompetentajai institūcijai (izņemot šo noteikumu 13.1. apakšpunktā minēto institūciju) vai autorizētajam sistēmas lietotājam piekļuvi sistēmai anulē,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vietējai kompetentajai institūcijai vai autorizētajam sistēmas lietotājam vairs nav tiesiska pamata piekļūt sistēmai;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saņemts vietējās kompetentās institūcijas vai autorizētā sistēmas lietotāja pieteikums par sistēmas lietošanas pārtraukšanu;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sistēmas pārzinis vai tā pilnvarota persona konstatē lietotāja rīcību, kuras mērķis ir ietekmēt sistēmas sniegto pakalpojumu konfidencialitāti, integritāti vai pieejamību.";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Juridiskas personas var piekļūt sistēmai, izmantojot saskaņoto ziņošanas saskarņu moduli, un lietotāju piekļuves tiesību piešķiršana notiek šo noteikumu 16. un 17.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Vietējā kompetentā institūcija un autorizētais sistēmas lietotājs nekavējoties paziņo sistēmas pārzinim vai tā pilnvarotai personai par to, ka attiecīgajai vietējai kompetentajai institūcijai, autorizētajam sistēmas lietotājam vai sistēmā elektroniski identificējamai fiziskajai personai, kas to pārstāv, vairs nav tiesiska pamata piekļūt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Līdz 2026. gada 31. decembrim noslēgtie sistēmas lietotāju un sistēmas informācijas un komunikācijas tehnoloģiju resursu un pakalpojumu pārvaldītāja līgumi par sistēmas lietošanu zaudē spēku 2027. gada 1. janvārī. Attiecīgajiem sistēmas lietotājiem saglabājas piekļuve sistēmai atbilstoši šo noteikumu prasībām pēc tam, kad sistēmas lietotājs ir parakstījies sistēmā par iepazīšanos ar drošības noteikumiem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 informatīvajā atsaucē uz Eiropas Savienības direktīvām 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2027.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Švinka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25-TA-1087</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25-TA-1087</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noteikumu_(grozījumu)_projekts_25-TA-1087.docx</dc:title>
</cp:coreProperties>
</file>

<file path=docProps/custom.xml><?xml version="1.0" encoding="utf-8"?>
<Properties xmlns="http://schemas.openxmlformats.org/officeDocument/2006/custom-properties" xmlns:vt="http://schemas.openxmlformats.org/officeDocument/2006/docPropsVTypes"/>
</file>