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30. jūnijā (prot. Nr. 35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28. maija noteikumos Nr. 320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28. maija noteikumos Nr. 320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 (Latvijas Vēstnesis, 2024, 103.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Pasākuma mērķis ir veicināt Eiropas Savienības nozīmes biotopu atjaunošanu vai vēsturisko kūdras ieguves vietu revitalizāciju īpaši aizsargājamās dabas teritorijās bioloģiskās daudzveidības veicināšanai un ekosistēmu pakalpojumu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Pasākumu īsteno līdz 2030. gada 31. decembrim, sasniedzot šādus uzraudzības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iznākuma rādītājs – atbalstītā sanētās zemes platība. Iznākuma rādītāja vērtība tiek sasniegta, ja veikti ieguldījumi Eiropas Savienības nozīmes biotopu atjaunošanā vai vēsturisko kūdras ieguves vietu revitalizācijā 5800 hektāru platībā projekta tiešajās īstenošanas vietās;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rezultāta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 atjaunotas degradētas ekosistēmas. Rezultāta rādītāja vērtība tiek sasniegta, ja pasākuma ietvaros veikti ieguldījumi Eiropas Savienības nozīmes biotopu atjaunošanā vai vēsturisko kūdras ieguves vietu revitalizācijā šo noteikumu 5.1. apakšpunktā minētajā platībā, kopumā labvēlīgi ietekmējot teritoriju vismaz 4046 hektāru platībā;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 aplēstās siltumnīcefekta gāzu emisijas. Rezultāta rādītāja vērtība tiek sasniegta un aprēķināta no projektā iekļautajām teritorijām, sasniedzot siltumnīcefekta gāzu emisiju samazinājumu vismaz 0 (ietaupījumu vismaz 13 000) oglekļa dioksīda ekvivalenta tonnu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ietvaros atbildīgās iestādes funkcijas pilda Viedās administrācijas un reģionālās attīstības ministrija (turpmāk – atbildīgā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 īstenošanai plānotais un pieejamais kopējais attiecināmais finansējums ir vismaz 28 648 275 </w:t>
      </w:r>
      <w:r w:rsidR="00000000" w:rsidRPr="00000000" w:rsidDel="00000000">
        <w:rPr>
          <w:i w:val="1"/>
          <w:rtl w:val="0"/>
        </w:rPr>
        <w:t xml:space="preserve">euro</w:t>
      </w:r>
      <w:r w:rsidR="00000000" w:rsidRPr="00000000" w:rsidDel="00000000">
        <w:rPr>
          <w:rtl w:val="0"/>
        </w:rPr>
        <w:t xml:space="preserve">, tai skaitā Taisnīgas pārkārtošanās fonda finansējums 24 351 033 </w:t>
      </w:r>
      <w:r w:rsidR="00000000" w:rsidRPr="00000000" w:rsidDel="00000000">
        <w:rPr>
          <w:i w:val="1"/>
          <w:rtl w:val="0"/>
        </w:rPr>
        <w:t xml:space="preserve">euro </w:t>
      </w:r>
      <w:r w:rsidR="00000000" w:rsidRPr="00000000" w:rsidDel="00000000">
        <w:rPr>
          <w:rtl w:val="0"/>
        </w:rPr>
        <w:t xml:space="preserve">apmērā un nacionālais līdzfinansējums, ko veido valsts budžeta līdzfinansējums 4 297 242 </w:t>
      </w:r>
      <w:r w:rsidR="00000000" w:rsidRPr="00000000" w:rsidDel="00000000">
        <w:rPr>
          <w:i w:val="1"/>
          <w:rtl w:val="0"/>
        </w:rPr>
        <w:t xml:space="preserve">euro </w:t>
      </w:r>
      <w:r w:rsidR="00000000" w:rsidRPr="00000000" w:rsidDel="00000000">
        <w:rPr>
          <w:rtl w:val="0"/>
        </w:rPr>
        <w:t xml:space="preserve">apmērā un privātais finansējums. Privātais finansējums tiek paredzēts, ja pasākuma īstenošanai nepieciešamais finansējums pārsniedz maksimāli iespējamo Taisnīgas pārkārtošanās fonda un valsts budžeta līdzfinansējuma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Finansējuma saņēmējs projekta atbalstāmo darbību īstenošanai sadarbības partnera statusā var piesaistīt Dabas aizsardzības pārvaldi."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Projekta iesniedzējs kopā ar sadarbības partneri (ja attiecināms) plāno projektā sasniedzamos uzraudzības rādītājus un Taisnīgas pārkārtošanās fonda finansējumu atbilstoši šo noteikumu 5. punktā minētajiem rādītājiem un šo noteikumu 8. punktā pieejamam finansējumam."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Ja projektā paredzēts piesaistīt sadarbības partneri, projekta iesniedzējs pirms projekta iesniegšanas ar sadarbības partneri slēdz rakstveida sadarbības līgumu par pušu pienākumiem, tiesībām un atbildību projekta mērķa, rezultātu un rādītāju sasniegšanā un šo noteikumu 30. punktā minēto prasību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Projekta iesniedzējs un sadarbības partneris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ir atbildīgs par projekta mērķa, rezultātu un rādītāju sasniegšanu tādā apjomā, kā noteikts sadarbības līgumā;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iesaistās projekta īstenošanā ar saviem resursiem, tai skaitā ar tā īpašumā, valdījumā, turējumā vai lietojumā esošo nekustamo īpašumu vai finansējumu, kā arī nodrošina projekta ietvaros izveidotās infrastruktūras un atjaunoto teritoriju uzturēšanu visā projekta dzīves ciklā, kas ir vismaz 15 gadi, iekļaujot projekta īstenošanas laiku un pēcuzraudzības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projekta darbību īstenošanas rezultātā rodas ieņēmumi (piemēram, no koksnes un šķeldas realizācijas), šo ieņēmumu uzskaitei projekta iesniedzējs sagatavo finanšu analīzi. Pamatojoties uz izmaksu un ieguvumu analīzē norādīto neto ieņēmumu apmēru, kas tiek precizēts atbilstoši faktiskajam apmēram, ne vēlāk kā pirms pēdējā maksājuma veikšanas tiek samazināts Taisnīgas pārkārtošanās fonda finansējuma apmērs par summu, par kuru faktiski gūtie neto ieņēmumi pārsniedz sākotnējā finanšu analīzē paredzētos neto ieņēmumus. Šo ieņēmumu uzskaiti projekta iesniedzējs veic kā daļu no šo noteikumu 17. punktā minētās izmaksu un ieguvumu analīzes."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Projekta iesniedzējs var iesniegt vairākus projektu iesniegumus, kur vienā projekta iesniegumā minimālais plānotais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Projekta iesniedzējs kopā ar sadarbības partneri (ja attiecināms)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Pasākuma ietvaros nav atbalstāma meža ieaudzēšana īpaši aizsargājamās dabas teritorijās, kas noteiktas saskaņā ar normatīvajiem aktiem par īpaši aizsargājamām dabas teritorijām, izņemot gadījumu, ja to paredz īpaši aizsargājamās dabas teritorijas aizsardzības un izmantošanas noteikumi vai dabas aizsardzības plāns. Atbalsts netiek sniegts arī mežsaimnieciskai darbībai, kas nav saistīta ar šo noteikumu 20. punktā minēto darbību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projekta iesnieguma un projekta īstenošanu pamatojošās dokumentācijas sagatavošanas izmaksas (izņemot projekta iesnieguma veidlapas aizpildīšanas izmaksas), kas tieši saistītas ar projektā plānotajām darbībām, nepārsniedzot 10 procentus no plānotajām projekta kopējām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22.1.1. hidrologa, sugu un biotopu aizsardzības jomas eksperta un (vai) arborista atzinuma sagatavošanas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22.1.2. būvniecības ieceres dokumentācijas, būvprojekta sagatavošanas un ar to saistītās normatīvajos aktos paredzētās būvekspertīzes izmaksas atbilstoši būvniecības jomu regulējošiem normatīvajiem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 izmaksu un ieguvumu analīzes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22.1.4. ekosistēmu pakalpojuma novērtējuma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22.1.5. ietekmes sākotnējā izvērtējuma un ietekmes uz vidi novērtējuma, kā arī tehnisko noteikumu sagatavošanas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22.1.6. klimata risku izvērtējuma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22.1.7. hidroloģiskā vai hidroģeoloģiskā modeļa un hidroloģisko vai hidraulisko aprēķinu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22.1.8. autoruzraudzības un būvdarbu būvuzraudzības izmaksas atbilstoši būvniecības jomu regulējošiem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"22.11. ar projekta darbībām tieši saistīto komunikācijas un vizuālās identitātes prasību nodrošināšanas izmaksas saskaņā ar normatīvo aktu par kārtību, kādā Eiropas Savienības fondu vadībā iesaistītās institūcijas nodrošina šo fondu ieviešanu 2021.–2027. gada plānošanas periodā, nepārsniedzot vienu procentu no plānotajām projekta kopējām tiešajām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 sabiedrības informēšanas un izglītošanas pasākumu izmaksas, kas nav šo noteikumu 22.11. apakšpunktā minētās izmaksas un nepārsniedz četrus procentus no plānotajām projekta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Neparedzētie izdevumi nepārsniedz piecus procentus no plānotajām projekta kopējām tiešajām attiecināmajām izmaksām. Neparedzēto izdevumu izlietošanu finansējuma saņēmējs saskaņo ar sadarbības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Finansējuma saņēmējs projektu īsteno saskaņā ar līgumu par projekta īstenošanu, bet ne ilgāk kā līdz 2030.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attiecināms, projekta ietvaros, veicot iepirkumus, nodrošina vides prasību integrāciju preču, pakalpojumu un būvdarbu iepirkumos (zaļais publiskais iepirkums), kā arī izvērtē sociāli atbildīgā publiskā iepirkuma un inovatīvā publiskā iepirkuma nosacījumu piemērošanu."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Īstenojot projektu, finansējuma saņēmējs un sadarbības partneris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nodrošina komunikācijas un vizuālās identitātes pasākumus atbilstoši regulas 2021/1060 47.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savā tīmekļvietnē ne retāk kā reizi sešos mēnešos ievieto aktuālu informāciju par projekta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 akciju sabiedrība "Latvijas valsts meži" sedz projekta izmaksu pieaugumu no saviem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30.4. nodrošina dubultā finansējuma neiestāšanos un to,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30.5. 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30.6. ja visā projekta dzīves ciklā no izveidotās infrastruktūras izmantošanas tiek gūti ieņēmumi, nodrošina šo ieņēmumu uzskaiti. Ja ieņēmumi pārsniedz šo noteikumu 17. punktā minēto apmēru, finansējuma saņēmējs informē par to sadarbības iestādi;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 veic vēsturisko kūdras ieguves vietu revitalizāciju, izvēloties piemērotāko revitalizācijas veidu saskaņā ar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trešajā projektu iesniegumu atlases kārtā veiktās inventarizācijas ietvaros apkopoto informāciju un ievērojot īpaši aizsargājamās dabas teritorijas dabas aizsardzības plānu (ja attiecināms), normatīvos aktus vides aizsardzības jomā un principu "piesārņotājs maksā";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 izstrādā kārtību, kādā tiks nodrošināta interešu konflikta, krāpšanas un korupcijas risku neesība, identificēti apstākļi, kuri izraisa vai var izraisīt interešu konfliktu, krāpšanu un korupcijas riskus, kas rada apdraudējumu vai kaitējumu projekta īstenošanai, nosaka veicamos pasākumus un izstrādā darbības plānu interešu konflikta, krāpšanas un korupcijas risku preventīvai novēršanai un gadījumiem, kad interešu konflikts, krāpšana vai korupcija ir atklāta, kā arī paraksta apliecinājumu par interešu konflikta neesību, lai tiktu ievērotas publiskos iepirkumus regulējošo normatīvo aktu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30.9. nodrošina, ka nekustamais īpašums, kurā tiks veiktas projektā paredzētās darbības, ir projekta iesniedzēja vai tā sadarbības partnera īpašumā, valdījumā, turējumā vai lietojumā visā projekta dzīves ciklā;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30.10. nodrošina šo noteikumu 5. punktā minēto rādītāju uzskaiti projekta īstenošanas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30.11. nodrošina projekta rezultātu ilgtspēju, uzturēšanu un apsaimniekošanu visā projekta dzīves ciklā saskaņā ar spēkā esošo īpaši aizsargājamo dabas teritoriju dabas aizsardzības plānu vai ar ekspertu norādījumiem par teritoriju apsaimniekošanas darbībām pēc projekta noslēgšanas, tostarp nodrošina, ka netiek uzsākta kūdras ieguve;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30.12. nodrošina horizontālo principu "Nenodarīt būtisku kaitējumu", "Klimatdrošināšana" un "Vienlīdzība, iekļaušana, nediskriminācija un pamattiesību ievērošana" ievērošanu un datu uzkrāšanu par horizontālā principa "Vienlīdzība, iekļaušana, nediskriminācija un pamattiesību ievērošana" rādītāju sasniegtajām vērtībām un to ievadi Kohēzijas politikas fondu vadības informācijas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30.12.1. konsultatīva rakstura pasākumu skaits par būvētās vides, informācijas tehnoloģiju risinājumu un informācijas tehnoloģiju piekļūstamību personām ar dažādiem funkcionāliem traucējumiem;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30.12.2. mediju kampaņu, semināru, konferenču un komunikācijas pasākumu skaits, kuros sabiedrības informēšana tika nodrošināta cilvēkiem ar dažādu veidu funkcionāliem traucējumiem piekļūstamā formātā (piemēram, tulkošana zīmju valodā, subtitrēšana, reāllaika transkripcija, raidījumu un pasākumu ieraksti);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30.13. nosaka pienākumu būvdarbu veicējiem un pakalpojumu sniedzējiem ievērot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30.13.1. 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30.13.2. ja projekta ietvaros tiek apsaimniekoti azbestu saturoši materiāli, tie tiks apstrādāti, transportēti un utilizēti atbilstoši normatīvajiem aktiem par darba aizsardzības prasībām darbā ar azbestu un azbesta atkritumu apsaimniekošanu;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30.13.3. tiks ievērots koku ciršanas aizliegums putnu ligzdošanas periodā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30.14. nodrošina, ka īpaši aizsargājamās dabas teritorijās projekta darbības tiek īstenotas saskaņā ar spēkā esošajiem īpaši aizsargājamo dabas teritoriju dabas aizsardzības plāniem un sugu un biotopu aizsardzības plāniem vai, ja šādu dokumentu nav vai tajos nav paredzētas attiecīgas darbības vai darbību apraksts nav pietiekami detalizēts, – saskaņā ar sugu un biotopu aizsardzības jomas eksperta atzinumu par projektā paredzēto darbību atbilstošu ietekmi uz biotopiem un sugu dzīvotnēm un hidrologa atzinumu par plānotā ūdens līmeņa režīma izmaiņām un to ietekmi uz apkārtējām teritorijām (ja attiecināms) atbilstoši ietekmes uz vidi novērtējuma vai sākotnējā ietekmes uz vidi novērtējuma procedūrām (ja attiecināms) un tehnisko noteikumu prasībām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30.15. plānotās projekta darbības Latvijas austrumu pierobežā un ekspluatācijas aizsargjoslā ap valsts aizsardzības objektiem koordinē ar Aizsardzības ministriju."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Tavars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26-TA-624</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26-TA-624</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noteikumu_(grozījumu)_projekts_26-TA-624.docx</dc:title>
</cp:coreProperties>
</file>

<file path=docProps/custom.xml><?xml version="1.0" encoding="utf-8"?>
<Properties xmlns="http://schemas.openxmlformats.org/officeDocument/2006/custom-properties" xmlns:vt="http://schemas.openxmlformats.org/officeDocument/2006/docPropsVTypes"/>
</file>