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meža ieaudzēšanai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7"/>
        <w:gridCol w:w="1920"/>
        <w:gridCol w:w="4632"/>
        <w:gridCol w:w="1097"/>
        <w:gridCol w:w="901"/>
        <w:tblGridChange w:id="0">
          <w:tblGrid>
            <w:gridCol w:w="337"/>
            <w:gridCol w:w="1920"/>
            <w:gridCol w:w="4632"/>
            <w:gridCol w:w="1097"/>
            <w:gridCol w:w="9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Erozijai pakļautā zemes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 tiek ieaudzēts erozijai pakļautā zemes vienībā (E2, 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 netiek ieaudzēts erozijai pakļautā zemes vienībā (E2, 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kvalitatīvais novērtējums ballēs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kvalitātes grupa – līdz 10 ballēm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kvalitātes grupa – no 11 līdz 20 ballēm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kvalitātes grupa – vairāk par 20 ballēm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 aizņem vismaz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 aizņem ne vairāk kā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 aizņem vismaz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 aizņem ne vairāk kā 50 procentu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ieaudzēšana paredzēta dabas aizsardzības plānā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ieaudzēšana ir paredzēta īpaši aizsargājamās dabas teritorijas dabas aizsardzības plānā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(fiziskai personai) ir augstākā vai vidējā speciālā mežsaimnieciskā izglītība vai pretendents ir meža īpašnieku kooperatīva (mežsaimniecības pakalpojumu kooperatīvās sabiedrības) vai biedrību un nodibinājumu reģistrā reģistrētas meža īpašnieku biedrības biedrs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un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vai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esošā meža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200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500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500,1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pretendenta atbalstam pieteiktās platības lielums kārtā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5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punktu skaits, lai pretendētu uz atbalstu, ir 30 punktu.</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Meža īpašnieku biedrība Biedrību un nodibinājumu reģistrā ir reģistrēta vismaz trīs gadus.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noteikumu_konsolidētā_versija_p3_24-TA-119.docx</dc:title>
</cp:coreProperties>
</file>

<file path=docProps/custom.xml><?xml version="1.0" encoding="utf-8"?>
<Properties xmlns="http://schemas.openxmlformats.org/officeDocument/2006/custom-properties" xmlns:vt="http://schemas.openxmlformats.org/officeDocument/2006/docPropsVTypes"/>
</file>