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retināšanai un nomaiņai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8"/>
        <w:gridCol w:w="2337"/>
        <w:gridCol w:w="3837"/>
        <w:gridCol w:w="628"/>
        <w:gridCol w:w="857"/>
        <w:gridCol w:w="791"/>
        <w:tblGridChange w:id="0">
          <w:tblGrid>
            <w:gridCol w:w="288"/>
            <w:gridCol w:w="2337"/>
            <w:gridCol w:w="3837"/>
            <w:gridCol w:w="628"/>
            <w:gridCol w:w="857"/>
            <w:gridCol w:w="7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atlases 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īstenojamā darbība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vismaz 50 procentu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25–49,9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ne vairāk kā 24,9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Ilgtspējīgas meža apsaimniekošanas sertifikāts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Platībai, kurā paredzēta mežaudžu retināšana vai nomaiņa, ir piešķirts ilgtspējīgas meža apsaimniekošanas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ha (ieskaitot)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ha (ieskaitot)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(neskaitot fiziskas personas īpašumu kopā ar juridiskai personai piederošo īpašumu) atbalstam pieteiktās platības lielums kārtā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līdz 15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noteikumu_konsolidētā_versija_p4_24-TA-119.docx</dc:title>
</cp:coreProperties>
</file>

<file path=docProps/custom.xml><?xml version="1.0" encoding="utf-8"?>
<Properties xmlns="http://schemas.openxmlformats.org/officeDocument/2006/custom-properties" xmlns:vt="http://schemas.openxmlformats.org/officeDocument/2006/docPropsVTypes"/>
</file>