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22. augusta noteikumos Nr. 495 "Darbības programmas "Izaugsme un nodarbinātība" 4.3.1. specifiskā atbalsta mērķa "Veicināt energoefektivitāti un vietējo AER izmantošanu centralizētajā siltumapgādē" otrās un trešās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w:t>
      </w:r>
      <w:r>
        <w:br/>
      </w:r>
      <w:r w:rsidR="00000000" w:rsidRPr="00000000" w:rsidDel="00000000">
        <w:rPr>
          <w:rStyle w:val="paragraph"/>
          <w:i w:val="1"/>
          <w:rtl w:val="0"/>
        </w:rPr>
        <w:t xml:space="preserve">perioda vadības likuma 20.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22. augusta noteikumos Nr. 495 "Darbības programmas "Izaugsme un nodarbinātība" 4.3.1. specifiskā atbalsta mērķa "Veicināt energoefektivitāti un vietējo AER izmantošanu centralizētajā siltumapgādē" otrās un trešās projektu iesniegumu atlases kārtas īstenošanas noteikumi" (Latvijas Vēstnesis, 2017, 174. nr.; 2018, 149. nr.; 2019, 119., 166. nr.; 2020, 146. nr.; 2021, 104. nr.; 2022, 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"Darbības programmas "Izaugsme un nodarbinātība" 4.3.1. specifiskā atbalsta mērķa "Veicināt energoefektivitāti un vietējo AER izmantošanu centralizētajā siltumapgādē" otrās un trešās projektu iesniegumu atlases kārtas un 15.1.1. specifiskā atbalsta mērķa “Atbalsta pasākumi centralizētās siltumapgādes jomā” īstenošanas noteikumi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Eiropas Savienības struktūrfonduun Kohēzijas fonda 2014.–2020. gada plānošanasperioda vadības likuma 20. panta 6. un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īsteno darbības programmas "Izaugsme un nodarbinātība" 4.3.1. specifiskā atbalsta mērķa "Veicināt energoefektivitāti un vietējo AER izmantošanu centralizētajā siltumapgādē" (turpmāk – specifiskais atbalsts) otro un trešo projektu iesniegumu atlases kārtu</w:t>
      </w:r>
      <w:r w:rsidR="00000000" w:rsidRPr="00000000" w:rsidDel="00000000">
        <w:rPr>
          <w:b w:val="1"/>
          <w:rtl w:val="0"/>
        </w:rPr>
        <w:t xml:space="preserve"> </w:t>
      </w:r>
      <w:r w:rsidR="00000000" w:rsidRPr="00000000" w:rsidDel="00000000">
        <w:rPr>
          <w:rtl w:val="0"/>
        </w:rPr>
        <w:t xml:space="preserve">un 15.1.1. specifisko atbalsta mērķi “Atbalsta pasākumi centralizētās siltumapgādes jomā” (turpmāk – mazaizsargāto mājsaimniecību centralizētā siltumapgāde) (turpmāk kopā –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prasības Kohēzijas fonda projekta (turpmāk – projekts)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Otrās un trešās atlases kārtas ietvaros tiek sniegts šāds komercdarbības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 ieguldījumu atbalsts energoefektivitātes pasākumiem saskaņā ar Eiropas Komisijas 2014. gada 17. jūnija Regulas (ES) Nr.  651/2014, ar ko noteiktas atbalsta kategorijas atzīst par saderīgām ar iekšējo tirgu, piemērojot Līguma 107. un 108. pantu (Eiropas Savienības Oficiālais Vēstnesis, 2014. gada 26. jūnijs, Nr. L 187) (turpmāk – Komisijas regula Nr.  651/2014), 38.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 ieguldījumu atbalsts energoefektīvai centralizētajai siltumapgādei un dzesēšanai saskaņā ar Komisijas regulas Nr.  651/2014 46.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 valsts atbalsts attiecībā uz kompensāciju par sabiedriskajiem pakalpojumiem tiem komersantiem, kuriem uzticēts sniegt pakalpojumus ar vispārēju tautsaimniecisku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Specifiskā atbalsta otrās un trešās atlases kārtas īstenošanas mērķis ir veicināt energoefektivitāti un vietējo atjaunojamo energoresursu izmantošanu centralizētajā siltumapgādē."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Mazaizsargāto mājsaimniecību centralizētās siltumapgādes mērķis ir samazināt mazaizsargāto mājsaimniecību 2022./2023. gada sezonas centrālās apkures 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Specifiskā atbalsta mērķa grupa otrās un trešās atlases kārtas ietvaros ir siltumenerģijas lietotāji."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Mazaizsargāto mājsaimniecību centralizētās siltumapgādes atlases ietvaros mērķa grupa ir mazaizsargātas mājsaimniecības. Šo noteikumu ietvaros kā mazaizsargāta mājsaimniecība tiek noteikta tāda mājsaimniecība, kuras rīcībā esošie ienākumi uz vienu mājsaimniecības locekli (</w:t>
      </w:r>
      <w:r w:rsidR="00000000" w:rsidRPr="00000000" w:rsidDel="00000000">
        <w:rPr>
          <w:i w:val="1"/>
          <w:rtl w:val="0"/>
        </w:rPr>
        <w:t xml:space="preserve">euro</w:t>
      </w:r>
      <w:r w:rsidR="00000000" w:rsidRPr="00000000" w:rsidDel="00000000">
        <w:rPr>
          <w:rtl w:val="0"/>
        </w:rPr>
        <w:t xml:space="preserve"> mēnesī) ir zem Latvijas vidējā rādītāja, kas Latvijā 2021. gadā bija 677,97 </w:t>
      </w:r>
      <w:r w:rsidR="00000000" w:rsidRPr="00000000" w:rsidDel="00000000">
        <w:rPr>
          <w:i w:val="1"/>
          <w:rtl w:val="0"/>
        </w:rPr>
        <w:t xml:space="preserve">euro</w:t>
      </w:r>
      <w:r w:rsidR="00000000" w:rsidRPr="00000000" w:rsidDel="00000000">
        <w:rPr>
          <w:rtl w:val="0"/>
        </w:rPr>
        <w:t xml:space="preserve"> uz vienu mājsaimniecības locekli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Specifiskā atbalsta otrās un trešās atlases kārtas īstenošanas veids ir atklāta projektu iesniegumu atlase.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Mazaizsargāto mājsaimniecību centralizētās siltumapgādes īstenošanas veids ir ierobežota projektu iesniegumu atlase."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Otrās un trešās atlases kārtu kopējais attiecināmais finansējums ir ne mazāks kā 199 203 911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23 131 564 </w:t>
      </w:r>
      <w:r w:rsidR="00000000" w:rsidRPr="00000000" w:rsidDel="00000000">
        <w:rPr>
          <w:i w:val="1"/>
          <w:rtl w:val="0"/>
        </w:rPr>
        <w:t xml:space="preserve">euro</w:t>
      </w:r>
      <w:r w:rsidR="00000000" w:rsidRPr="00000000" w:rsidDel="00000000">
        <w:rPr>
          <w:rtl w:val="0"/>
        </w:rPr>
        <w:t xml:space="preserve"> un privātais finansējums – 119 522 347 </w:t>
      </w:r>
      <w:r w:rsidR="00000000" w:rsidRPr="00000000" w:rsidDel="00000000">
        <w:rPr>
          <w:i w:val="1"/>
          <w:rtl w:val="0"/>
        </w:rPr>
        <w:t xml:space="preserve">euro</w:t>
      </w:r>
      <w:r w:rsidR="00000000" w:rsidRPr="00000000" w:rsidDel="00000000">
        <w:rPr>
          <w:rtl w:val="0"/>
        </w:rPr>
        <w:t xml:space="preserve">. Otrās atlases kārtas kopējais attiecināmais finansējums ir 27 168 681 </w:t>
      </w:r>
      <w:r w:rsidR="00000000" w:rsidRPr="00000000" w:rsidDel="00000000">
        <w:rPr>
          <w:i w:val="1"/>
          <w:rtl w:val="0"/>
        </w:rPr>
        <w:t xml:space="preserve">euro</w:t>
      </w:r>
      <w:r w:rsidR="00000000" w:rsidRPr="00000000" w:rsidDel="00000000">
        <w:rPr>
          <w:rtl w:val="0"/>
        </w:rPr>
        <w:t xml:space="preserve">, tai skaitā Kohēzijas fonda finansējums – 10 867 472 </w:t>
      </w:r>
      <w:r w:rsidR="00000000" w:rsidRPr="00000000" w:rsidDel="00000000">
        <w:rPr>
          <w:i w:val="1"/>
          <w:rtl w:val="0"/>
        </w:rPr>
        <w:t xml:space="preserve">euro</w:t>
      </w:r>
      <w:r w:rsidR="00000000" w:rsidRPr="00000000" w:rsidDel="00000000">
        <w:rPr>
          <w:rtl w:val="0"/>
        </w:rPr>
        <w:t xml:space="preserve"> un privātais finansējums – 16 301 209 </w:t>
      </w:r>
      <w:r w:rsidR="00000000" w:rsidRPr="00000000" w:rsidDel="00000000">
        <w:rPr>
          <w:i w:val="1"/>
          <w:rtl w:val="0"/>
        </w:rPr>
        <w:t xml:space="preserve">euro.</w:t>
      </w:r>
      <w:r w:rsidR="00000000" w:rsidRPr="00000000" w:rsidDel="00000000">
        <w:rPr>
          <w:rtl w:val="0"/>
        </w:rPr>
        <w:t xml:space="preserve"> Trešās atlases kārtas kopējais attiecināmais finansējums ir 172 035 230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12 264 092 </w:t>
      </w:r>
      <w:r w:rsidR="00000000" w:rsidRPr="00000000" w:rsidDel="00000000">
        <w:rPr>
          <w:i w:val="1"/>
          <w:rtl w:val="0"/>
        </w:rPr>
        <w:t xml:space="preserve">euro</w:t>
      </w:r>
      <w:r w:rsidR="00000000" w:rsidRPr="00000000" w:rsidDel="00000000">
        <w:rPr>
          <w:rtl w:val="0"/>
        </w:rPr>
        <w:t xml:space="preserve"> un privātais finansējums – 103 221 138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Mazaizsargāto mājsaimniecību centralizētās siltumapgādes atlases ietvaros kopējais attiecināmais finansējums ir 60 000 000 </w:t>
      </w:r>
      <w:r w:rsidR="00000000" w:rsidRPr="00000000" w:rsidDel="00000000">
        <w:rPr>
          <w:i w:val="1"/>
          <w:rtl w:val="0"/>
        </w:rPr>
        <w:t xml:space="preserve">euro</w:t>
      </w:r>
      <w:r w:rsidR="00000000" w:rsidRPr="00000000" w:rsidDel="00000000">
        <w:rPr>
          <w:rtl w:val="0"/>
        </w:rPr>
        <w:t xml:space="preserve">, tai skaitā Kohēzijas fonda finansējums – 60 000 000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Otrās un trešās atlases kārtas ietvaros maksimāli pieļaujamā Kohēzijas fonda atbalsta intensitāte no projekta kopējām attiecināmajām izmaksām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centralizētās siltumapgādes ražošanas avota efektivitātes paaugstināšanai – 40 %;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siltumenerģijas akumulācijas iekārtas uzstādīšanai un būvniecībai – 30 %;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siltumenerģijas pārvades un sadales sistēmas paplašināšanai un efektivitātes paaugstināšanai – 40 %, bet tā nedrīkst pārsniegt Komisijas regulas Nr.  651/2014 46. panta 6. punktā noteikto ierobežojumu, ja atbalsts tiek sniegts saskaņā ar Komisijas regulas Nr.  651/2014 46.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Kohēzijas fonda atbalsta intensitāte mazaizsargāto mājsaimniecību centralizētās siltumapgādes atlases ietvaros ir 100 %."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Specifiskā atbalsta otrās un trešās atlases kārtas ietvaros sasniedzamie rezultāta un iznākuma rādītāji un to sasniedzamās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līdz 2023. gada 31. decembrim otrās un trešās atlases kārtas ietvaros sasniedzamie rezultāta rādītāji atbilstoši darbības programmas "Izaugsme un nodarbinātība" noteiktajam: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10.1.1. atjaunojamo energoresursu īpatsvars pārveidošanas sektorā saražotajā siltumenerģijā – 60 %;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 kopējā atjaunojamo energoresursu siltumjauda centralizētajā siltumapgādē – 1 820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līdz 2023. gada 31. decembrim otrās un trešās atlases kārtas ietvaros sasniedzamie iznākuma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rekonstruētie siltumtīkli – 14 km;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siltumenerģijas zudumu samazinājums rekonstruētajos siltumtīklos – 11 844 MWh/gadā;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 atjaunojamos energoresursus izmantojošo siltumražošanas jaudu modernizācija un pieaugums centralizētajā siltumapgādē – 152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10.2.4. no atjaunojamiem energoresursiem ražotā papildjauda – 58 MW;</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10.2.5. aprēķinātais siltumnīcefekta gāzu samazinājums gadā – 337 691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finanšu rādītājs otrās un trešās atlases kārtas ietvaros – līdz 2018. gada 31. decembrim sertificēti izdevumi vismaz 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Mazaizsargāto mājsaimniecību centralizētās siltumapgādes atlases ietvaros līdz 2023. gada 31. decembrim sasniedzamais iznākuma rādītājs - aktivitāšu vērtība mazāk aizsargāto mājsaimniecību (ar ienākumiem uz vienu locekli zem vidējā valstī) enerģijas patēriņa izmaksu segšanai - 60 000 000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Specifiskā atbalsta un atlases kārtu ietvaros atbildīgās iestādes funkcijas pilda Ekonomikas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Specifiskā atbalsta otrās un trešās atlases kārtas ietvaros projekta iesniedzējs ir Latvijas Republikā reģistrēts komersants. Mazaizsargāto mājsaimniecību centralizētās siltumapgādes atlases ietvaros projekta iesniedzējs ir valsts pārvaldes iestāde, kas veic enerģētikas politikas administrēšanu atbilstoši normatīvajos aktos noteiktajai kompetencei - Būvniecības valsts kontroles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Specifiskā atbalsta otrās un trešās atlases kārtas ietvaros projekta iesniedzējs var būt arī centralizētās siltumapgādes pakalpojuma sniedzējs, kuram uzticēts sniegt pakalpojumus ar vispārēju tautsaimniecisku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Otrās un trešās atlases kārtas ietvaros projekta iesniedzējam ir īpašuma vai valdījuma tiesības vai apbūves tiesība uz nekustamo īpašumu, tai skaitā zemi un infrastruktūru, kurā tiks veiktas projektā paredzētās darbības, uz termiņu, kas nav mazāks par pieciem gadiem pēc noslēguma maksājuma veikšanas,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nekustamā īpašuma, tai skaitā zemes, īpašuma tiesības un apbūves tiesību nostiprina zemesgrāmatā līdz pirmā maksājuma pieprasījuma iesniegšanai sadarbības iestādē;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siltumenerģijas pārvades un sadales sistēma (infrastruktūra), kurā paredzēts veikt ieguldījumus projekta ietvaros, ir projekta iesniedzēja īpašumā, valdījumā vai turējumā uz laiku, kas nav mazāks par pieciem gadiem pēc noslēguma maksājuma veikšanas. Zeme, uz kuras atrodas siltumenerģijas pārvades un sadales sistēma, var nebūt projekta iesniedzēja īpašumā, valdījumā vai turējumā."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Finanšu aprēķinus otrās un trešās atlases kārtas projekta iesniegumā veic, pamatojoties uz šādiem pieņēmumiem: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projekta īstenošanas pēdējā gada beigās projekta ietvaros izveidoto objektu nodod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projekta ietvaros izdevumus un ienākumus norāda pēc noslēguma maksājuma veikšanas;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finanšu aprēķinos piemēro reālo finansiālo diskonta likmi;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 norādītā informācija atbilst plānotajam siltumenerģijas tarifam atbilstoši normatīvajiem aktiem enerģētikas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Otrās un trešās atlases kārtas viena projekta ietvaros neapvieno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pārvades un sadales sistēmas efektivitātes paaugstināšanai, centralizētās siltumapgādes ražošanas avota efektivitātes paaugstināšanai un siltumenerģijas akumulācijas iekārtas uzstādīšanai un būvniecībai;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centralizētās siltumapgādes ražošanas avota efektivitātes paaugstināšanai un siltumenerģijas akumulācijas iekārtas uzstādīšanai un būvniecībai;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vairāku centralizētās siltumapgādes ražošanas avotu efektivitātes paaugstināšanai;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vairāku siltumenerģijas akumulācijas iekārtu uzstādīšanai un būvniecībai."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Otrās  atlases kārtas projektu ietvaros, kas iesniegti līdz 2018. gada 1. februārim, ir atbalstāmas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pārvades un sadales sistēmas būvniecība un rekonstrukcija, tai skaitā tehnoloģisko iekārtu iegāde un uzstādīšana;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17.3.1. komersants ir licencēts siltumenerģijas pārvades vai sadales operators;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17.3.2. 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siltumenerģijas akumulācijas iekārtas uzstādīšana un būvniecība;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projekta tehniskās dokumentācijas sagatavošana;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 projekta vadības un uzraudzības nodrošināšana."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Trešās atlases kārtas projektu ietvaros, kas iesniegti no 2022. gada 1. maija, ir atbalstāmas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 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 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2.1. komersants ir licencēts siltumenerģijas pārvades vai sadales operators;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2.2. 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 siltumenerģijas akumulācijas iekārtas uzstādīšana un būvniecība;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 projekta tehniskās dokumentācijas sagatavošana;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 projekta vadības un uzraudzības nodrošināšana."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Atbilstoši Mazaizsargāto mājsaimniecību centralizētās siltumapgādes atlases ietvaros enerģijas izmaksu segšanas un energoresursu cenu kāpuma kompensēšanas, kā arī finansējuma saņēmēja projekta vadības un īstenošanas personāla atlīdzības izmaksu vienreizējā maksājuma metodikai (2. pielikums) atbalstāmās darbības ir enerģijas izmaksu segšana un energoresursu cenu kāpuma kompensēšana, kā arī finansējuma saņēmēja projekta vadība un īstenošanas personāla atlīdzības izmaksa."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Šo noteikumu 17.</w:t>
      </w:r>
      <w:r w:rsidR="00000000" w:rsidRPr="00000000" w:rsidDel="00000000">
        <w:rPr>
          <w:vertAlign w:val="superscript"/>
          <w:rtl w:val="0"/>
        </w:rPr>
        <w:t xml:space="preserve">2 </w:t>
      </w:r>
      <w:r w:rsidR="00000000" w:rsidRPr="00000000" w:rsidDel="00000000">
        <w:rPr>
          <w:rtl w:val="0"/>
        </w:rPr>
        <w:t xml:space="preserve">punktā minētā metodika nosaka vienreizējā maksājuma aprēķina vispārējos principus, kā arī prasības rezultātu pamatojošai dokumentācijai."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Otrās un trešās atlases kārtas ietvaros atbalsts tiek piešķirts ieguldījumiem energoefektīvas centralizētās siltumapgādes sistēmā, kas atbilst Komisijas regulas Nr. 651/2014 2. panta 124.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Otrā un trešā atlases kārtā finansējumu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jaunas koģenerācijas elektrostacijas būvniecībai, esoša centralizētās siltumapgādes ražošanas avota pārbūvei par koģenerācijas elektrostaciju;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koģenerācijas stacijas rekonstrukcijai un efektivitātes paaugstināšanai, izņemot šo noteikumu 17.4. un 17.</w:t>
      </w:r>
      <w:r w:rsidR="00000000" w:rsidRPr="00000000" w:rsidDel="00000000">
        <w:rPr>
          <w:vertAlign w:val="superscript"/>
          <w:rtl w:val="0"/>
        </w:rPr>
        <w:t xml:space="preserve">1</w:t>
      </w:r>
      <w:r w:rsidR="00000000" w:rsidRPr="00000000" w:rsidDel="00000000">
        <w:rPr>
          <w:rtl w:val="0"/>
        </w:rPr>
        <w:t xml:space="preserve">3. apakšpunktā minētās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ja tiek paaugstināta centralizētās siltumapgādes ražošanas avota efektivitāte, – siltumenerģijas ražošanai izmantoto energoresursu konversijai no atjaunojamiem energoresursiem uz fosiliem energoresursiem;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esošai sistēmai paralēlas gāzes piegādes vai siltumapgādes sistēmas izveidošanai vai atjaunošanai;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siltumenerģijas ražošanai, izmantojot biogāzi."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Ja otrās un trešās atlases kārtas projekta ietvaros plānota centralizētās siltumapgādes ražošanas avota būvniecība ar lielāku kurināmā sadedzināšanas jaudu nekā esošajam centralizētās siltumapgādes ražošanas avotam, nepieciešams saskaņojums ar siltumenerģijas apgādes sistēmas operatoru."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Ja otrās un trešās atlases kārtas projekta ietvaros plānotas šo noteikumu 17.2. apakšpunktā minētās darbības, lai centralizētās siltumapgādes sistēmai pievienotu jaunu patērētāju, tas tiek pievienots centralizētās siltumapgādes ražošanas avotam, ko darbina ar atjaunojamiem energoresursiem."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otrās un trešās atlases kārtas projekta ietvaros plānots veikt šo noteikumu 17.2. apakšpunktā minētās darbības, lai centralizētās siltumapgādes sistēmai pievienotu: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jaunu, jau esošu patērētāju, un projekta iesniedzējam nav informācijas par ēkas siltummezgla jaudu, nepieciešams eksperta atzinums;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jaunu, vēl neuzbūvētu patērētāju, nepieciešams apstiprināts būvprojekts, kurā norādīta plānotā siltummezgla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Otrās un trešās atlases kārtas ietvaros projekta attiecināmās izmaksas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sākotnējā ietekmes uz vidi izvērtējuma, ietekmes uz vidi novērtējuma un tā izstrādes izmaksas, projekta iesniegumu pamatojošās dokumentācijas sagatavošanas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būvprojekta tehniskā projekta vai skiču projekta sagatavošanas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būvuzraudzības un autoruzraudzības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projekta vadības personāla atlīdzības izmaksas, kas radušās uz darba līguma, uzņēmuma vai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24.4.1. tās nepārsniedz 56 580 </w:t>
      </w:r>
      <w:r w:rsidR="00000000" w:rsidRPr="00000000" w:rsidDel="00000000">
        <w:rPr>
          <w:i w:val="1"/>
          <w:rtl w:val="0"/>
        </w:rPr>
        <w:t xml:space="preserve">euro</w:t>
      </w:r>
      <w:r w:rsidR="00000000" w:rsidRPr="00000000" w:rsidDel="00000000">
        <w:rPr>
          <w:rtl w:val="0"/>
        </w:rPr>
        <w:t xml:space="preserve"> gadā, ja attiecināmās izmaksas ir pieci miljoni </w:t>
      </w:r>
      <w:r w:rsidR="00000000" w:rsidRPr="00000000" w:rsidDel="00000000">
        <w:rPr>
          <w:i w:val="1"/>
          <w:rtl w:val="0"/>
        </w:rPr>
        <w:t xml:space="preserve">euro </w:t>
      </w:r>
      <w:r w:rsidR="00000000" w:rsidRPr="00000000" w:rsidDel="00000000">
        <w:rPr>
          <w:rtl w:val="0"/>
        </w:rPr>
        <w:t xml:space="preserve">vai lielākas;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24.4.2. tās nepārsniedz 24 426 </w:t>
      </w:r>
      <w:r w:rsidR="00000000" w:rsidRPr="00000000" w:rsidDel="00000000">
        <w:rPr>
          <w:i w:val="1"/>
          <w:rtl w:val="0"/>
        </w:rPr>
        <w:t xml:space="preserve">euro</w:t>
      </w:r>
      <w:r w:rsidR="00000000" w:rsidRPr="00000000" w:rsidDel="00000000">
        <w:rPr>
          <w:rtl w:val="0"/>
        </w:rPr>
        <w:t xml:space="preserve"> gadā, pieskaitot 0,64 % no attiecināmajām izmaksām, neieskaitot projekta vadības personāla izmaksas, ja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24.4.3. attiecināma ir ne mazāka kā 30 % noslodze, personāla iesaisti projektā nodrošinot saskaņā ar daļēja darba laika attiecināmības principu (attiecināms, ja izmaksas radušās uz darba līguma pamata);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tehnoloģisko pamatiekārtu, palīgiekārtu un materiālu iegādes un uzstādīšanas izmaksas, kas tieši nodrošina centralizētās siltumapgādes ražošanas avota un pārvades un sadales sistēmas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 būvdarbu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24.6.1. centralizētās siltumapgādes ražošanas avota un pārvades un sadales sistēmas rekonstrukcijas un būvniecības, siltumenerģijas akumulācijas iekārtas uzstādīšanas un būvniecības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24.6.2. projekta iesniedzēja īpašumā, nomā vai koncesijā esošo tehnoloģisko iekārtu demontāžas izmaksas, ēku un būvju nojaukšanas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24.6.3. būvlaukuma teritorijas sakārtošanas izmaksas pēc būvdarbu pabeigšanas, ja tas ir tieši nepieciešams centralizētās siltumapgādes ražošanas avota, siltumenerģijas akumulācijas iekārtas un pārvades un sadales sistēmas rekonstrukcijai, būvniecībai un objektu nodošanai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24.7. 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Minētās izmaksas nepārsniedz 1 %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Mazaizsargāto mājsaimniecību centralizētās siltumapgādes atlases ietvaros attiecināmās izmaksas ir enerģijas izmaksu un energoresursu cenu kāpuma kompensācija, kā arī finansējuma saņēmēja projekta vadības un īstenošanas personāla atlīdzības izmaksas atbilstoši šo noteikumu 17.</w:t>
      </w:r>
      <w:r w:rsidR="00000000" w:rsidRPr="00000000" w:rsidDel="00000000">
        <w:rPr>
          <w:vertAlign w:val="superscript"/>
          <w:rtl w:val="0"/>
        </w:rPr>
        <w:t xml:space="preserve">2</w:t>
      </w:r>
      <w:r w:rsidR="00000000" w:rsidRPr="00000000" w:rsidDel="00000000">
        <w:rPr>
          <w:rtl w:val="0"/>
        </w:rPr>
        <w:t xml:space="preserve"> punktā minētajā metodikā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Otrās un trešās atlases kārtas ietvaros radušās projektu izmaksas ir attiecināmas, ja 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izmanto tikai finansējuma saņēmēja vajadzībām;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iekļauj finansējuma saņēmēja aktīvos kā amortizējamos ilgtermiņa ieguldījumus, tie paliek attiecīgajā reģionā un tos nenodod lietošanā trešajām personām vismaz piecus gadus pēc noslēguma maksājuma veikšanas;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iegādājas no trešajām personām par tirgus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Otrās un trešās atlases kārtas ietvaros šo noteikumu 24.2. un 24.3. apakšpunktā minēto attiecināmo izmaksu kopsumma nepārsniedz 10 % no būvdarbu līguma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Otrās un trešās atlases kārtas ietvaros šo noteikumu 24.1., 24.2., 24.3. un 24.4. apakšpunktā minēto attiecināmo izmaksu kopsumma nepārsniedz 10 %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Ja finansējumu sniedz saskaņā ar Komisijas regulas Nr. 651/2014 38. vai 46. pantu, atlases kārtas ietvaros projektā būvdarbus var sākt ar dienu, kad sadarbības iestādē ir saņemts projekta iesniegums. Būvdarbu sākums atbilst Komisijas regulas Nr. 651/2014 2. panta 23.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Ja  finansējumu sniedz saskaņā ar Komisijas regulas Nr. 651/2014 38. vai 46. pantu un darbu projektā, kurā tiek veikti ieguldījumi centralizētās siltumapgādes ražošanas avotā, projekta iesniedzējs uzsācis pirms projekta iesnieguma iesniegšanas sadarbības iestādē, visas ar projektu saistītās izmaksas, izņemot šo noteikumu 24.1., 24.2., 24.6.2. un 24.7. apakšpunktā minētās izmaksas, ir neattiecināmas."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finansējumu sniedz saskaņā ar Komisijas regulas Nr. 651/2014 38. vai 46. pantu un darbu projektā, kurā tiek veikti ieguldījumi siltumenerģijas pārvades un sadales sistēmā, projekta iesniedzējs uzsācis pirms projekta iesnieguma iesniegšanas sadarbības iestādē, visas ar projektu saistītās izmaksas, izņemot šo noteikumu 24.1., 24.2. un 24.7. apakšpunktā minētās izmaksas, ir neattiecināmas."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Otrās un trešās atlases kārtas ietvaros neattiecināmas ir šādas izmaksu pozīcijas: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lietotu iekārtu iegādes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līzinga maksājumi;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pievienotās vērtības nodoklis, izņemot šo noteikumu 25. punktā minēto gadījumu, muitas nodokļi un nodevas;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teritorijas labiekārtošanas un apzaļumošanas izmaksas, izņemot šo noteikumu 24.6.3. apakšpunktā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jebkāda veida pārvietojamās tehnikas un transportlīdzekļu iegādes izmaksas, izņemot šo noteikumu 24.5. apakšpunktā minētās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tehnoloģisko iekārtu (apkures katlu, sūkņu utt.) atjaunošanai paredzēto ieguldījumu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32.7. izmaksas, kas radušās, pamatojoties uz noslēgtu darba līgumu, izņemot šo noteikumu 24.4. apakšpunktā minētās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32.8. izmaksas, kas šo noteikumu 24. punktā nav noteiktas kā attiecināmas vai pārsniedz izmaksu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32.9. nodokļi un nodevu maksājumi, izņemot šo noteikumu 24.4. apakšpunktā un 25. 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32.10. 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32.11. šo noteikumu 24. punktā minētās izmaksas, ja tiek veikti ieguldījumi centralizētās siltumapgādes ražošanas avotā un tās ir radušās, pirms finansējuma saņēmējs sadarbības iestādei ir iesniedzis projekta iesniegumu, izņemot šo noteikumu 24.1., 24.2., 24.6.2. un 24.7. apakšpunktā minētās izmaksas, ja tās ir radušās pēc 2017. gada 30. jūnija;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32.12. šo noteikumu 24. punktā minētās izmaksas, ja tiek veikti ieguldījumi siltumenerģijas pārvades un sadales sistēmā un tās ir radušās, pirms finansējuma saņēmējs sadarbības iestādei ir iesniedzis projekta iesniegumu, izņemot šo noteikumu 24.1., 24.2. un 24.7. apakšpunktā minētās izmaksas, ja tās radušās pēc 2017. gada 30. jūnija."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Otrās un trešās atlases kārtas ietvaros, īstenojot projektu, finansējuma saņēmējs nodrošina,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projekta īstenošanas ietvaros nepieciešamās iepirkumu procedūras tiek veiktas saskaņā ar normatīvo aktu prasībām iepirkumu procedūras jomā, īstenojot atklātu, pārredzamu, nediskriminējošu un konkurenci nodrošinošu konkursa procedūru. Atbalstāma ir arī vides prasību integrācija preču, pakalpojumu un būvdarbu iepirkumos - zaļais publiskais iepirkums;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tiek īstenoti informācijas un publicitātes pasākumi, tai skaitā aktuālā informācija par projekta īstenošanu tiek ievietota finansējuma saņēmēja tīmekļvietnē, ja tāda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piecus gadus pēc noslēguma maksājuma veikšanas katru gadu līdz 31. janvārim sadarbības iestādei tiek iesniegts pārskats par sasniegtajiem rādītājiem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36.4. vismaz piecus gadus pēc noslēguma maksājuma veikšanas projektā veiktās investīcijas un radītie pamatlīdzekļi tiek izmantoti projektā paredzētajam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36.5. vismaz piecus gadus pēc noslēguma maksājuma veikšanas tiek nodrošināta veikto investīciju ilgtspēja un uzturēšana darba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36.6. tiek uzkrāta informācija par darba vietām, kas veicina vides kvalitātes saglabāšanu vai atjaunošanu (zaļajām darba vietām), un preču, pakalpojumu un būvdarbu iepirkumiem, kur integrētas vides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36.7. tiek iegādātas un uzstādītas tādas sadedzināšanas iekārtas, kas nodrošina normatīvajos aktos par kārtību, kādā novērš, ierobežo un kontrolē gaisu piesārņojošo vielu emisiju no sadedzināšanas iekārtām, noteikto gaisu piesārņojošo vielu emisijas robežvērtību piemērošanu;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36.8. tiek ieviesta atsevišķa grāmatvedības uzskaite par finansējuma izlietojumu projektā, nodalot tā ietvaros veiktās darbības no citas saimnieciskās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Mazaizsargāto mājsaimniecību centralizētās siltumapgādes ietvaros finansējuma saņēmējs nodrošina, ka tiek ieviesta atsevišķa grāmatvedības uzskaite par finansējuma izlietojumu projektā, nodalot tā ietvaros veiktās darbības no citas saimnieciskās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VI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Ar valsts atbalsta saņemšanu saistītie nosacījumi otrajā un trešajā atlases kārtā".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Finansējumu otrās un trešās atlases kārtas ietvaros šo noteikumu 24.1. un 24.2. apakšpunktā minēto izmaksu segšanai, kas radušās ne agrāk kā no 2017. gada 30. jūnija, sniedz saskaņā ar Komisijas regulu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Finansējumu otrās un trešās atlases kārtas ietvaros šo noteikumu 24.7. apakšpunktā minēto izmaksu segšanai sniedz saskaņā ar Komisijas regulu Nr. 1407/2013."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Ja projekta ietvaros tiek veikti ieguldījumi centralizētās siltumapgādes ražošanas avotā, atbalstu otrās un trešās atlases kārtas ietvaros šo noteikumu 24.6.2. apakšpunktā minēto izmaksu segšanai, kas radušās ne agrāk kā no 2017. gada 30. jūnija, sniedz saskaņā ar Komisijas regulu Nr. 1407/2013. Šo noteikumu 24.6.2. apakšpunktā minētajām izmaksām ir jābūt skaidri nodalītām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Ja projekta ietvaros tiek veikti ieguldījumi siltumenerģijas pārvades un sadales sistēmā un siltumenerģijas akumulācijas iekārtas uzstādīšanā un būvniecībā, atbalstu otrās un trešās atlases kārtas ietvaros šo noteikumu 24.6.2. apakšpunktā minēto izmaksu segšanai sniedz saskaņā ar Komisijas regulu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46. panta 3., 4. un 6. punktā. Visas attiecināmās izmaksas, kas pārsniedz Komisijas regulas Nr. 651/2014 46. panta 3., 4.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projekta ietvaros tiek veikta siltumenerģijas akumulācijas iekārtas uzstādīšana un būvniecība,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38. panta 4., 5. un 6. punktā. Visas attiecināmās izmaksas, kas pārsniedz Komisijas regulas Nr. 651/2014 38. panta 4., 5.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attiecināmās izmaksas, kuras ir nosakāmas, var apvienot ar citu valsts atbalstu, kurā attiecināmās izmaksas nav nosakāmas, ievērojot Komisijas regulas Nr. 651/2014 8. panta 4. punktu un nepārsniedzot maksimāli pieļaujamo atbalsta intensitāti, kas noteikta Komisijas regulas Nr. 651/2014 46. panta 3., 4. un 6.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Ja projekta ietvaros tiek veikta siltumenerģijas akumulācijas iekārtas uzstādīšana un būvniecība, specifiskā atbalsta un otrās un trešās atlases kārtas ietvaros attiecināmās izmaksas, kuras ir nosakāmas, var apvienot ar citu valsts atbalstu, kurā attiecināmās izmaksas nav nosakāmas, ievērojot Komisijas regulas Nr. 651/2014 8. panta 4. punktu un nepārsniedzot maksimāli pieļaujamo atbalsta intensitāti, kas noteikta Komisijas regulas Nr. 651/2014 38. panta 4., 5. un 6.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Ja atbalsta saņēmējs specifiskā atbalsta un otrās un trešās atlases kārtas ietvaros plāno šo noteikumu 52., 53., 54., 55. vai 55.</w:t>
      </w:r>
      <w:r w:rsidR="00000000" w:rsidRPr="00000000" w:rsidDel="00000000">
        <w:rPr>
          <w:vertAlign w:val="superscript"/>
          <w:rtl w:val="0"/>
        </w:rPr>
        <w:t xml:space="preserve">2</w:t>
      </w:r>
      <w:r w:rsidR="00000000" w:rsidRPr="00000000" w:rsidDel="00000000">
        <w:rPr>
          <w:rtl w:val="0"/>
        </w:rPr>
        <w:t xml:space="preserve"> punktā norādīto atbalsta apvienošanu vai kumulēšanu, atbalsta saņēmējam ir jāiesniedz atbalsta sniedzējam informācija par plānoto un piešķirto atbalstu par tām pašām attiecināmajām izmaksām, norādot atbalsta piešķiršanas datumu, atbalsta sniedzēju, atbalsta pasākumu un plānoto vai piešķirto atbalsta summu, lai atbalsta sniedzējs spētu pārliecināties par normu korektu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Ja atbalsts specifiskā atbalsta un otrās un trešās atlases kārtas ietvaros tiek piešķirts saskaņā ar Komisijas regulu Nr. 1407/2013, sadarbības iestāde pārliecinās par finansējuma saņēmējam piešķirto </w:t>
      </w:r>
      <w:r w:rsidR="00000000" w:rsidRPr="00000000" w:rsidDel="00000000">
        <w:rPr>
          <w:i w:val="1"/>
          <w:rtl w:val="0"/>
        </w:rPr>
        <w:t xml:space="preserve">de minimis</w:t>
      </w:r>
      <w:r w:rsidR="00000000" w:rsidRPr="00000000" w:rsidDel="00000000">
        <w:rPr>
          <w:rtl w:val="0"/>
        </w:rPr>
        <w:t xml:space="preserve"> atbalstu atbilstoši Komisijas regulas Nr. 1407/2013 6. panta 3. punktam un informē finansējuma saņēmēju par iespējamo atbalsta summu atbilstoši Komisijas regulas Nr. 1407/2013 6. panta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Ja atbalsts specifiskā atbalsta un otrās un trešās atlases kārtu ietvaros tiek piešķirts saskaņā ar Komisijas regulu Nr. 1407/2013, tiek piemērots atbalsta spēkā stāšanās un piemērošanas periods atbilstoši Komisijas regulas Nr. 1407/2013 8.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atbalsts specifiskā atbalsta un otrās un trešās atlases kārtas ietvaros tiek piešķirts saskaņā ar Komisijas regulas Nr. 651/2014 46. vai 38. pantu, tiek piemērots atbalsta spēkā stāšanās un piemērošanas periods atbilstoši Komisijas regulas Nr. 651/2014 59.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Ja atbalsts specifiskā atbalsta un otrās un trešās atlases kārtas ietvaros tiek piešķirts saskaņā ar Komisijas regulas Nr. 651/2014 46. pantu, pārvades un sadales sistēmā veikto investīciju atbilstības uzraudzību Komisijas regulas Nr. 651/2014 46. panta 6. punkta nosacījumiem vienu reizi projekta dzīves cikla beigās nodrošina sadarbības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finansējuma saņēmējs ir šo noteikumu 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kuram otrās un trešās atlases kārtas ietvaros piešķirts atbalsts saskaņā ar Komisijas regulu Nr. 651/2014 vai Komisijas regulu Nr. 1407/2013, tas var lūgt sadarbības iestādi pārkvalificēt tam otrās un trešās atlases kārtas ietvaros sniegto valsts atbalsta veidu kā valsts atbalstu attiecībā uz kompensāciju par sabiedriskajiem pakalpojumiem saskaņā ar Komisijas lēmumu Nr. 2012/21/ES."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Aizstāt pielikumā vārdu "Pielikums" ar vārdu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23-TA-1215</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23-TA-1215</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noteikumu_(grozījumu)_projekts_23-TA-1215.docx</dc:title>
</cp:coreProperties>
</file>

<file path=docProps/custom.xml><?xml version="1.0" encoding="utf-8"?>
<Properties xmlns="http://schemas.openxmlformats.org/officeDocument/2006/custom-properties" xmlns:vt="http://schemas.openxmlformats.org/officeDocument/2006/docPropsVTypes"/>
</file>