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681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21. oktobrī (prot. Nr. 44 17.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"Vabolītes" Ceraukstes pagastā, Bauskas novadā, pirkšanu valsts galvenā autoceļa A7 "Rīga–Bauska–Lietuvas robeža (Grenctāle)" posma Ķekavas apvedceļš–Bauska, ieskaitot Iecavas un Bauskas apvedceļu, būvniecības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 atļaut Satiksmes ministrijai pirkt nekustamo īpašumu "Vabolītes" (nekustamā īpašuma kadastra Nr. 4050 005 0168) – zemes vienību (zemes vienības kadastra apzīmējums 4050 003 0132) 0,61 ha platībā – Ceraukstes pagastā, Bauskas novadā, kas nepieciešams valsts galvenā autoceļa A7 "Rīga–Bauska–Lietuvas robeža (Grenctāle)" posma Ķekavas apvedceļš–Bauska, ieskaitot Iecavas un Bauskas apvedceļu, būvniecības projekta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pirkšanu un īpašuma tiesību nostiprināšanu zemesgrāmatā, segt no Satiksmes ministrijas budžeta programmas 23.00.00 "Valsts autoceļu fonds" apakšprogrammā 23.06.00 "Valsts autoceļu uzturēšana un atjaunošana" 2025.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25-TA-2177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25-TA-2177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rīkojuma_projekts_25-TA-2177.docx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