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16. decembrī (prot. Nr. 52 67.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akciju sabiedrības "Air Baltic Corporation" kopējo personāla izmaksu palielinājumu 2025. gadā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Pamatojoties uz likuma "</w:t>
      </w:r>
      <w:r w:rsidR="00000000" w:rsidRPr="00000000" w:rsidDel="00000000">
        <w:rPr>
          <w:rtl w:val="0"/>
        </w:rPr>
        <w:t xml:space="preserve">Par valsts budžetu 2025. gadam un budžeta ietvaru 2025., 2026. un 2027. gadam</w:t>
      </w:r>
      <w:r w:rsidR="00000000" w:rsidRPr="00000000" w:rsidDel="00000000">
        <w:rPr>
          <w:rtl w:val="0"/>
        </w:rPr>
        <w:t xml:space="preserve">" 82. pantu, atļaut akciju sabiedrībai "Air Baltic Corporation" 2025. gadā palielināt kopējās personāla izmaksas par 18 procentiem salīdzinājumā ar iepriekšējo pārskata gadu.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25-TA-2953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25-TA-2953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