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56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25. janvārī (prot. Nr. 4 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2020. gada 29. septembra noteikumos Nr. 602 "Nekustamā īpašuma darījumu starpnieka profesionālās darbības civiltiesiskās atbildības apdrošināšanas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w:t>
      </w:r>
      <w:r w:rsidR="00000000" w:rsidRPr="00000000" w:rsidDel="00000000">
        <w:rPr>
          <w:rStyle w:val="paragraph"/>
          <w:i w:val="1"/>
          <w:rtl w:val="0"/>
        </w:rPr>
        <w:t xml:space="preserve"> Nekustamā īpašuma darījumu</w:t>
      </w:r>
      <w:r>
        <w:br/>
      </w:r>
      <w:r w:rsidR="00000000" w:rsidRPr="00000000" w:rsidDel="00000000">
        <w:rPr>
          <w:rStyle w:val="paragraph"/>
          <w:i w:val="1"/>
          <w:rtl w:val="0"/>
        </w:rPr>
        <w:t xml:space="preserve">starpnieku darbības likuma</w:t>
      </w:r>
      <w:r w:rsidR="00000000" w:rsidRPr="00000000" w:rsidDel="00000000">
        <w:rPr>
          <w:rStyle w:val="paragraph"/>
          <w:i w:val="1"/>
          <w:rtl w:val="0"/>
        </w:rPr>
        <w:t xml:space="preserve"> 9. panta trešo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2020. gada 29. septembra noteikumos Nr. 602 "Nekustamā īpašuma darījumu starpnieka profesionālās darbības civiltiesiskās atbildības apdrošināšanas noteikumi" (Latvijas Vēstnesis, 2020, 190.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Civiltiesiskās atbildības apdrošināšanas līgumu var noslēgt individuāli starp vienu starpnieku un apdrošinātāju vai kolektīvi, iekļaujot tajā vienlaikus vairākus starpniekus: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 ja starpnieks ir fiziskā persona, tad civiltiesiskās atbildības apdrošināšanas līgumu slēdz individuāli starp vienu starpnieku un apdrošinātāju;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 ja starpnieks ir juridiskā persona vai personālsabiedrība, tad civiltiesiskās atbildības apdrošināšanas līgumu slēdz starp vienu starpnieku un apdrošinātāju vai kolektīvi, iekļaujot tajā vienlaikus vairākus starpniekus, kuri juridiskās personas vai personālsabiedrības vārdā sniedz nekustamā īpašuma darījumu starpniecības pakalpojumus."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Minimālais starpnieka profesionālās darbības civiltiesiskās atbildības apdrošināšanas limits ir šāds: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 ja starpnieks ir fiziskā persona, – 50 000 </w:t>
      </w:r>
      <w:r w:rsidR="00000000" w:rsidRPr="00000000" w:rsidDel="00000000">
        <w:rPr>
          <w:i w:val="1"/>
          <w:rtl w:val="0"/>
        </w:rPr>
        <w:t xml:space="preserve">euro </w:t>
      </w:r>
      <w:r w:rsidR="00000000" w:rsidRPr="00000000" w:rsidDel="00000000">
        <w:rPr>
          <w:rtl w:val="0"/>
        </w:rPr>
        <w:t xml:space="preserve">gadā;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6.2. ja starpnieks ir juridiskā persona vai personālsabiedrība, – 50 000 </w:t>
      </w:r>
      <w:r w:rsidR="00000000" w:rsidRPr="00000000" w:rsidDel="00000000">
        <w:rPr>
          <w:i w:val="1"/>
          <w:rtl w:val="0"/>
        </w:rPr>
        <w:t xml:space="preserve">euro </w:t>
      </w:r>
      <w:r w:rsidR="00000000" w:rsidRPr="00000000" w:rsidDel="00000000">
        <w:rPr>
          <w:rtl w:val="0"/>
        </w:rPr>
        <w:t xml:space="preserve">gadā par katru fizisko personu, kura juridiskās personas vai personālsabiedrības vārdā sniedz nekustamā īpašuma darījumu starpniecības pakalpojumus."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Vitenbergs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21-TA-66</w:t>
    </w:r>
    <w:r>
      <w:br/>
    </w:r>
    <w:r w:rsidR="00000000" w:rsidRPr="00000000" w:rsidDel="00000000">
      <w:rPr>
        <w:rtl w:val="0"/>
      </w:rPr>
      <w:t xml:space="preserve">Izdrukāts 29.07.2026. 22.40 - 1.0.VK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21-TA-66</w:t>
    </w:r>
    <w:r>
      <w:br/>
    </w:r>
    <w:r w:rsidR="00000000" w:rsidRPr="00000000" w:rsidDel="00000000">
      <w:rPr>
        <w:rtl w:val="0"/>
      </w:rPr>
      <w:t xml:space="preserve">Izdrukāts 29.07.2026. 22.40 - 1.0.VK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noteikumu_(grozījumu)_projekts_21-TA-66.docx</dc:title>
</cp:coreProperties>
</file>

<file path=docProps/custom.xml><?xml version="1.0" encoding="utf-8"?>
<Properties xmlns="http://schemas.openxmlformats.org/officeDocument/2006/custom-properties" xmlns:vt="http://schemas.openxmlformats.org/officeDocument/2006/docPropsVTypes"/>
</file>