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85.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(turpmāk – specifiskais atbalsta mērķis) 5.1.1.6. pasākumu "Kultūras mantojuma saglabāšana un jaunu pakalpojumu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iesniedzējiem, finansējuma saņēmējiem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komercdarbības atbalsta saņemšanas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tiek atbalstīti pašvaldības attīstības programmā paredzētie pasākuma projekti, kurus īsteno pilsētu funkcionālajās teritorijās.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Pasākumā piemērota teritoriālā pieeja, veicot ieguldījumus pilsētu funkcionālajās teritorijās, kas noteiktas plānošanas reģionu attīstības programmās.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īstenošanu nodrošina Kultūras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saņēmējs projektu īsteno saskaņā ar līgumu vai vienošanos par projekta īstenošanu, bet ne ilgāk kā līdz 2029.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vieta ir Latvijas Republika. Projektu īsteno plānošanas reģiona attīstības programmā noteiktā pilsētas funkcionālajā teritorijā.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mērķis un sasniedzamie uzraudzības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mērķis ir saglabāt, aizsargāt un attīstīt valsts nozīmes kultūras pieminekļus, veicinot objektu piekļūstamību un paplašinot objekta kā ilgtspējīga resursa inovatīvu izmantošanu cilvēka dzīves kvalitātes uzlabošanā un vietējo iedzīvotāju kopienas stiprināšanā.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mērķa grupa ir iedzīvotāji, vietējie un ārvalstu tūristi, kultūras mantojuma objektu apmeklētāji un saistīto pakalpojumu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līdz 2029. gada 31. decembrim ir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atbalstīto kultūras un tūrisma objektu skaits – vismaz 4;</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atbalstīto kultūras un tūrisma vietu apmeklētāji – vismaz 12 000.</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plānotais un pieejamais kopējais attiecināmais finansējums ir 8 700 000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 </w:t>
      </w:r>
      <w:r w:rsidR="00000000" w:rsidRPr="00000000" w:rsidDel="00000000">
        <w:rPr>
          <w:rtl w:val="0"/>
        </w:rPr>
        <w:t xml:space="preserve">un nacionālais finansējums (pašvaldības līdzfinansējums) – ne mazāk kā 1 305 000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Projektu iesniegumos pasākuma īstenošanai kopējo pasākumam plānoto un pieejamo finansējumu plāno 8 700 000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finansējumu 7 395 000 </w:t>
      </w:r>
      <w:r w:rsidR="00000000" w:rsidRPr="00000000" w:rsidDel="00000000">
        <w:rPr>
          <w:i w:val="1"/>
          <w:rtl w:val="0"/>
        </w:rPr>
        <w:t xml:space="preserve">euro </w:t>
      </w:r>
      <w:r w:rsidR="00000000" w:rsidRPr="00000000" w:rsidDel="00000000">
        <w:rPr>
          <w:rtl w:val="0"/>
        </w:rPr>
        <w:t xml:space="preserve">apmērā un nacionālo finansējumu vismaz 1 305 000 </w:t>
      </w:r>
      <w:r w:rsidR="00000000" w:rsidRPr="00000000" w:rsidDel="00000000">
        <w:rPr>
          <w:i w:val="1"/>
          <w:rtl w:val="0"/>
        </w:rPr>
        <w:t xml:space="preserve">euro </w:t>
      </w:r>
      <w:r w:rsidR="00000000" w:rsidRPr="00000000" w:rsidDel="00000000">
        <w:rPr>
          <w:rtl w:val="0"/>
        </w:rPr>
        <w:t xml:space="preserve">apmērā, ar šādu finansējuma sadalījumu pa reģioniem: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Kurzemes plānošanas reģionam – Eiropas Reģionālās attīstības fonda finansējums 1 848 750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Zemgales plānošanas reģionam – Eiropas Reģionālās attīstības fonda finansējums 1 848 750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Vidzemes plānošanas reģionam – Eiropas Reģionālās attīstības fonda finansējums 1 848 750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Latgales plānošanas reģionam – Eiropas Reģionālās attīstības fonda finansējums 1 848 750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iesnieguma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 un maksimālais Eiropas Reģionālās attīstības fonda finansējums nav lielāks par plānošanas reģionam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pieejamo finansējuma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Eiropas Reģionālās attīstības fonda maksimālā finansējuma likme nepārsniedz 85 procentus no projekta kopējām attiecināmajām izmaksām, ja atbalsta sniegšana specifiskā atbalsta ietvaros tam nav kvalificējama kā komercdarbības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Projektam, kam atbalsta sniegšana specifiskā atbalsta mērķa ietvaros ir kvalificējama kā komercdarbības atbalsts, atbalsta summa, kas ietver Eiropas Reģionālās attīstības fonda finansējumu un citu publisko finansējumu, atbilstoši Komisijas 2014. gada 17. jūnija Regulas (ES) Nr. 651/2014, ar ko noteiktas atbalsta kategorijas atzīst par saderīgām ar iekšējo tirgu, piemērojot Līguma 107. un 108. pantu (turpmāk – regula Nr. 651/2014), 53. panta 6. punktam nepārsniedz starpību starp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norādītajām tiešajām attiecināmajām izmaksām un pamatdarbības peļņu no ieguldījuma.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iesniedzējam un sadarbības partnerim projekta ietvaros pieejamo publiskā finansējuma apmēru nosaka,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pašvaldībai vai tās izveidotai iestādei, ja projektam atbalsta sniegšana specifiskā atbalsta ietvaros nav kvalificējama kā komercdarbības atbalsts, publiskais finansējums nepārsniedz 100 procentus;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pašvaldībai vai tās izveidotai iestādei, ja projektam atbalsta sniegšana specifiskā atbalsta ietvaros kvalificējama kā komercdarbības atbalsts, publiskais finansējums nepārsniedz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 aprēķina finanšu iztrūkumu.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un sadarbības partneris nodrošina projekta līdzfinansējumu šādā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atbalsta sniegšana specifiskā atbalsta ietvaros nav kvalificējama kā komercdarbības atbalsts, projekta iesniedzēja un sadarbības partnera līdzfinansējums nav mazāks par 15 procentiem no projekta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atbalsta sniegšana specifiskā atbalsta ietvaros ir kvalificējama kā komercdarbības atbalsts, projekta iesniedzēja un sadarbības partnera privātā līdzfinansējuma apmēru nosaka, ņemot vērā, ka publiskais finansējums nepārsniedz aprēķināto finanšu iztrūkumu. Projekta iesniedzējs līdzfinansējumu nodrošina no tādiem pašu līdzekļiem, par kuriem nav saņemts nekāds publisks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Sadarbības iestāde, ja tai ir pieejami valsts budžeta līdzekļi, izvērtējot plānotā avansa apmēru un tā pamatojumu un pamatojoties uz finansējuma saņēmēja rakstisku avansa pieprasījumu, var piešķirt finansējuma saņēmējam avansu pēc līguma vai vienošanās par projekta īstenošanu noslēgšanas. Finansējuma saņēmējs avansa pieprasījumu sagatavo un sadarbības iestāde to apstiprina, ņemot vērā, ka plānotā avansa apmērs atbilst spējai to izlietot sešu mēnešu laikā saimnieciskā gada ietvaros.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apmēra.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kurš pēc projekta iesnieguma apstiprināšanas kļūst par finansējuma saņēmēju, pasākuma ietvaros ir pašvaldība, tās izveidota iestāde vai pašvaldības kapitālsabiedrība, kuras īpašumā, turējumā, lietošanā, nomā vai valdījumā atrodas kultūras mantojuma objekts, kurā plānotas investīcijas.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pasākuma ietvaros projekta īstenošanai var piesaistīt sadarbības partneri – pašvaldību, pašvaldības iestādi vai pašvaldības kapitālsabiedrību, kuras īpašumā, turējumā, lietošanā, nomā vai valdījumā atrodas kultūras mantojuma objekts, kurā plānotas investīcijas.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ar katru sadarbības partneri slēdz rakstveida sadarbības līgumu par pušu pienākumiem, tiesībām un atbildību projekta mērķa un rādītāju sasniegšanā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Īpašuma, turējuma vai nomas tiesības attiecībā uz atbalstītajiem objektiem nemaina un ieguldījums paliek Latvijas Republikas teritorijā vismaz piecus gadus pēc noslēguma maksājuma veikšanas finansējuma saņēmējam. Īpašuma, turējuma vai nomas tiesības nostiprina zemesgrāmatā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 Ja īpašuma, turējuma vai nomas tiesības nav nostiprinātas zemesgrāmatā līdz projekta iesnieguma iesniegšanas dienai, tās nostiprina zemesgrāmatā līdz projekta noslēguma maksājuma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atbalsts kvalificējams kā komercdarbības atbalsts, projekta iesniedzējs nedrīkst saņemt finansējumu un sadarbības partneris nevar tikt iesaistīts projekta īstenošanā, ja uz atbalsta piešķiršanas brīdi: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atbilst grūtībās nonākuša komersanta statusam saskaņā ar regulas Nr. 651/2014 2. panta 18. punkta definīciju, vērtējot uzņēmuma grupas līmenī;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pašvaldībā atbilstoši likumam "Par pašvaldību finanšu stabilizēšanu un pašvaldību finansiālās darbības uzraudzību" ir uzsākts finanšu stabilizācijas process.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veic izmaksu un ieguvumu analīzi, ievērojot, ka projekta ekonomiskā ienesīguma norma ir lielāka par sociālo diskonta likmi un projekta ekonomiskā neto pašreizējā vērtība ir lielāka par nulli,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kopējās attiecināmās izmaksas ir vismaz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pretendē uz komercdarbības atbalstu saskaņā ar Komisijas regulas Nr. 651/2014 53. pantu.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tiks nodrošināts, ka atjaunotais, konservētais, pārbūvētais vai restaurētais valsts nozīmes kultūras piemineklis nodrošina kultūras darbību vai ar kultūras mantojuma atjaunošanu saistīto zināšanu pārnesi ne mazāk kā 9 mēnešus gadā.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iesnieguma iesniegšanas dienā ir apstiprināta atbalstāmā objekta darbības stratēģija, kas apliecina, 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saņemts vietējās kopienas atbalsts objekta satura pilnveidei;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objektu darbības stratēģija izstrādāta, ņemot vērā atjaunošanas darbu koncepciju, kas sagatavota, izvērtējot iespēju piesaistīt kvalificētu arhitektu;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darbības stratēģija ir sasaistē ar pilsētvides attīstības izaicinājumiem un tūrisma attīstības prioritātēm;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objektu darbības stratēģija pamato objekta attīstības sociālekonomiskos ieguvumus un paredz objekta uzturēšanu ilgtermiņā;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objekta darbības stratēģija pamato, kā tiks veicināta vietējo iedzīvotāju sociālā iekļaušana, izpildot šādus nosacījumus: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tiks pilnveidoti esošie pakalpojumi vai izveidoti jauni, iesaistot vietējās iedzīvotāju kopienas, uzlabojot sabiedrības līdzdalību kultūras procesos un radot jaunu sociālo dinamiku vairāku pašvaldību teritorijas iedzīvotājiem;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objekta darbības stratēģijā iekļautie risinājumi sekmē vienlīdzīgu piekļuvi kultūras objektiem, veicinot kultūras objektu un norišu piekļūstamību visiem apmeklētājiem neatkarīgi no personas dzīvesvietas, funkcionāliem traucējumiem un piederības sociālās atstumtības riska grupām.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Pasākums tiek īstenots, ievērojot: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Jaunā Eiropas </w:t>
      </w:r>
      <w:r w:rsidR="00000000" w:rsidRPr="00000000" w:rsidDel="00000000">
        <w:rPr>
          <w:i w:val="1"/>
          <w:rtl w:val="0"/>
        </w:rPr>
        <w:t xml:space="preserve">Bauhaus</w:t>
      </w:r>
      <w:r w:rsidR="00000000" w:rsidRPr="00000000" w:rsidDel="00000000">
        <w:rPr>
          <w:rtl w:val="0"/>
        </w:rPr>
        <w:t xml:space="preserve"> principus: estētiku, ilgtspēju, iekļautību, tai skaitā iekļaujot publiskās ārtelpas attīstības risinājumus apkārtējā ainavā, nodrošinot dabā balstīto risinājumu un universālā dizaina principu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Starptautiskās kultūras pieminekļu un ievērojamu vietu padomes izstrādātos kvalitātes principus Eiropas Savienības finansētiem pārveidojumiem, kas var ietekmēt kultūras mantojumu.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pasākuma ietvaros plānotais atbalsts nepārklājas ar citiem valsts un ārvalstu finanšu atbalsta instrumentiem, un nodrošina dubultā finansējuma neiestāšanos projekta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rezultātu ilgtspēju vismaz piecus gadus pēc tam, kad sadarbības iestāde ir veikusi noslēguma maksājumu;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un sadarbības partneris: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sasniegtajām šo noteikumu </w:t>
      </w:r>
      <w:r w:rsidR="00000000" w:rsidRPr="00000000" w:rsidDel="00000000">
        <w:rPr>
          <w:rtl w:val="0"/>
        </w:rPr>
        <w:t xml:space="preserve">11.1. </w:t>
      </w:r>
      <w:r w:rsidR="00000000" w:rsidRPr="00000000" w:rsidDel="00000000">
        <w:rPr>
          <w:rtl w:val="0"/>
        </w:rPr>
        <w:t xml:space="preserve">apakšpunktā</w:t>
      </w:r>
      <w:r w:rsidR="00000000" w:rsidRPr="00000000" w:rsidDel="00000000">
        <w:rPr>
          <w:rtl w:val="0"/>
        </w:rPr>
        <w:t xml:space="preserve"> minētā iznākuma rādītāja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projektā sasniegtajām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minētā rezultāta rādītāja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horizontālā principa rādītāju (ja attiecināms) – objektu skaits, kuros Eiropas Reģionālās attīstības fonda ieguldījumu rezultātā ir nodrošināta vides un informācijas piekļūstamība;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projekta ietekmi uz horizontālo principu īstenošanu (ja attiecināms) un ievēro šādus principus: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minētajiem horizontālo principu rādītājiem;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publisko iepirkumu reglamentējošajiem normatīvajiem aktiem, īstenojot atklātu, pārredzamu, nediskriminējošu un konkurenci nodrošinošu konkursa procedūru;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izvērtē iespēju īstenot sociāli atbildīgu un inovatīvu iepirkumu un vides prasību integrāciju preču un pakalpojumu  iepirkumos (zaļais publiskais iepirkums);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2024. gada 23. septembra Regulas (ES, Euratom) 2024/2509 par finanšu noteikumiem, ko piemēro Savienības vispārējam budžetam (pārstrādāta redakcija), 61. panta prasībām, kā arī ar parakstu apliecina, ka nepastāv interešu konflikts.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Projektā iekļauj atbalstāmās darbības, kas sekmē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specifiskā atbalsta mērķa un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uzraudzības rādītāju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nozīmes kultūras pieminekļu atjaunošana, konservācija, pārbūve vai restaurācija;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pakalpojumu izveide, paplašinot kultūras mantojuma saturisko piedāvājumu;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Izmaksas ir attiecināmas no šo noteikumu spēkā stāšanās dienas, izņemot šo noteikumu </w:t>
      </w:r>
      <w:r w:rsidR="00000000" w:rsidRPr="00000000" w:rsidDel="00000000">
        <w:rPr>
          <w:rtl w:val="0"/>
        </w:rPr>
        <w:t xml:space="preserve">34.2.1.</w:t>
      </w:r>
      <w:r w:rsidR="00000000" w:rsidRPr="00000000" w:rsidDel="00000000">
        <w:rPr>
          <w:rtl w:val="0"/>
        </w:rPr>
        <w:t xml:space="preserve">, </w:t>
      </w:r>
      <w:r w:rsidR="00000000" w:rsidRPr="00000000" w:rsidDel="00000000">
        <w:rPr>
          <w:rtl w:val="0"/>
        </w:rPr>
        <w:t xml:space="preserve">34.2.2.</w:t>
      </w:r>
      <w:r w:rsidR="00000000" w:rsidRPr="00000000" w:rsidDel="00000000">
        <w:rPr>
          <w:rtl w:val="0"/>
        </w:rPr>
        <w:t xml:space="preserve">, </w:t>
      </w:r>
      <w:r w:rsidR="00000000" w:rsidRPr="00000000" w:rsidDel="00000000">
        <w:rPr>
          <w:rtl w:val="0"/>
        </w:rPr>
        <w:t xml:space="preserve">34.2.3.</w:t>
      </w:r>
      <w:r w:rsidR="00000000" w:rsidRPr="00000000" w:rsidDel="00000000">
        <w:rPr>
          <w:rtl w:val="0"/>
        </w:rPr>
        <w:t xml:space="preserve"> un </w:t>
      </w:r>
      <w:r w:rsidR="00000000" w:rsidRPr="00000000" w:rsidDel="00000000">
        <w:rPr>
          <w:rtl w:val="0"/>
        </w:rPr>
        <w:t xml:space="preserve">34.2.4. </w:t>
      </w:r>
      <w:r w:rsidR="00000000" w:rsidRPr="00000000" w:rsidDel="00000000">
        <w:rPr>
          <w:rtl w:val="0"/>
        </w:rPr>
        <w:t xml:space="preserve">apakšpunktā</w:t>
      </w:r>
      <w:r w:rsidR="00000000" w:rsidRPr="00000000" w:rsidDel="00000000">
        <w:rPr>
          <w:rtl w:val="0"/>
        </w:rPr>
        <w:t xml:space="preserve"> minētās attiecināmās izmaksas, kas ir attiecināmas no 2021. gada 1. janvāra.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procentu apmērā no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Projekta tiešās attiecināmās izmaksas, kas sekmē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atbalstāmās darbības,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personāla izmaksas, kuras saskaņā ar regulas Nr. 2021/1060 55. panta 1. punktu projekta iesniegumā plāno kā vienu izmaksu pozīciju, piemērojot izmaksu vienoto likmi 5 procentu apmērā no projekta tiešajām attiecināmajām izmaksām, bet neieskaitot tiešās personāla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pamatojošās dokumentācijas sagatavošanas izmaksas, izņemot projekta iesnieguma veidlapas aizpildīšanas izmaksas: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būvprojekta minimālā sastāvā, apliecinājuma kartes vai paskaidrojuma raksta izstrāde visām projektā paredzētajām darbībām;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kultūrvēsturiskās un arheoloģiskās izpētes un kultūrvēsturiskās inventarizācijas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kultūras mantojuma objektu saistītās pakalpojuma un tā tehniskā projekta izstrādes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audita, ekspertīzes un izpētes izmaksas, ja to veikšana ir priekšnosacījums būvprojekta, būvdarbu ieceres dokumentācijas vai būvprojekta minimālā sastāvā izstrādei;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izmaksu un ieguvumu analīzes izstrāde;</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būvuzraudzības, autoruzraudzības un arheoloģiskās uzraudzības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būvdarbu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esošas būves, tai skaitā kultūras mantojuma objekta sasniedzamību un piekļūstamību nodrošinošās infrastruktūras (satiksmes pārvadi, ielas un ar tām saistītā infrastruktūra, gājēju ceļi, gājēju tilti, labiekārtoti laukumi ar segumu, kāpnes, apgaismojums) atjaunošana, konservācija, pārbūve vai restaurācija un ar to saistītās publiskās ārtelpas attīstība;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ietvaros atjaunoto, konservēto, pārbūvēto, restaurēto vai uzbūvēto būvju funkcionalitātes nodrošināšanai nepieciešamo inženiertīklu, tai skaitā ūdensvada, sadzīves kanalizācijas, lietusūdens kanalizācijas, elektrības, elektronisko sakaru, siltumapgādes, ventilācijas, klimata kontroles un ugunsdzēsības sistēmas, atjaunošana, pārbūve vai būvniecība;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inženierinfrastruktūras pārbūve vai funkcionāls savienojums, tai skaitā lietusūdens kanalizācijas infrastruktūras izbūve vai pārbūve (piegulošo inženiertīklu pārbūves izmaksas attiecināmas tikai tad, ja tiek nodrošināts sertificēta būvinženiera atzinums, kurā konstatēts, ka, projekta ietvaros veicot plānotos ieguldījumus noteiktās teritorijās, nav iespējams izvairīties no minētās infrastruktūras bojāšanas vai pārbūves, un ieguldījumi inženiertīklu pārbūvē tiek veikti, nemainot inženiertīklu tehniskos parametrus un neradot priekšrocības to īpašniekiem);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aprīkošana un pielāgošana pakalpojumu sniegšanai, kas nepieciešama būves vai tās daļas pieņemšanai ekspluatācijā;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kultūras mantojumu saistītā kultūras pakalpojuma izveides izmaksas, aprīkojuma iegādes un uzstādīšanas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komunikācijas un vizuālās identitātes prasību nodrošināšanas pasākumu izmaksas saskaņā ar regulas Nr. 2021/1060 47. un 50. pantu un normatīvajiem aktiem par kārtību, kādā Eiropas Savienības fondu vadībā iesaistītās institūcijas nodrošina šo fondu ieviešanu 2021.–2027. gada plānošanas periodā. Ja projektam sniegtais atbalsts ir uzskatāms par komercdarbības atbalstu, publicitātes izmaksas var būt attiecināmas projekta ietvaros, nepiemērojot komercdarbības atbalsta regulējumu;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īstenošanai, kas nepieciešamas, lai nodrošinātu atbilstību vides un informācijas piekļūstamības prasībām, tai skaitā: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zīmju valodas tulku, vieglās valodas tulkošanas, reāllaika transkripcijas un subtitru nodrošināšanas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ārpakalpojumā piesaistīto ekspertu konsultāciju izmaksas par informācijas un vides piekļūstamību.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34.2.</w:t>
      </w:r>
      <w:r w:rsidR="00000000" w:rsidRPr="00000000" w:rsidDel="00000000">
        <w:rPr>
          <w:rtl w:val="0"/>
        </w:rPr>
        <w:t xml:space="preserve"> un </w:t>
      </w:r>
      <w:r w:rsidR="00000000" w:rsidRPr="00000000" w:rsidDel="00000000">
        <w:rPr>
          <w:rtl w:val="0"/>
        </w:rPr>
        <w:t xml:space="preserve">34.3. </w:t>
      </w:r>
      <w:r w:rsidR="00000000" w:rsidRPr="00000000" w:rsidDel="00000000">
        <w:rPr>
          <w:rtl w:val="0"/>
        </w:rPr>
        <w:t xml:space="preserve">apakšpunktā</w:t>
      </w:r>
      <w:r w:rsidR="00000000" w:rsidRPr="00000000" w:rsidDel="00000000">
        <w:rPr>
          <w:rtl w:val="0"/>
        </w:rPr>
        <w:t xml:space="preserve"> noteiktās izmaksas kopā nepārsniedz 10 procentus no projekta kopējām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Neparedzētie izdevumi nepārsniedz piecus procentus no projekta kopējām tiešajām attiecināmajām izmaksām, un to izlietošanu finansējuma saņēmējs saskaņo ar sadarbības iestādi, ievērojot līgumu vai vienošanos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regulas Nr. 2021/1060 64. panta 1. punkta "c" apakšpunkta nosacījumiem, ja tas nav atgūstams atbilstoši normatīvajiem aktiem nodokļu politikas 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minētās izmaksas ir attiecināmas, ja tās ir ieguldījumi materiālajos aktīvos, kā noteikts regulas Nr. 651/2014 2. panta 29. punktā, vai nemateriālajos aktīvos, kā noteikts regulas Nr. 651/2014 2. panta 30. punktā, un veido pamatlīdzekļa vērtību, izņemot šo noteikumu </w:t>
      </w:r>
      <w:r w:rsidR="00000000" w:rsidRPr="00000000" w:rsidDel="00000000">
        <w:rPr>
          <w:rtl w:val="0"/>
        </w:rPr>
        <w:t xml:space="preserve">34.8. </w:t>
      </w:r>
      <w:r w:rsidR="00000000" w:rsidRPr="00000000" w:rsidDel="00000000">
        <w:rPr>
          <w:rtl w:val="0"/>
        </w:rPr>
        <w:t xml:space="preserve">apakšpunktā</w:t>
      </w:r>
      <w:r w:rsidR="00000000" w:rsidRPr="00000000" w:rsidDel="00000000">
        <w:rPr>
          <w:rtl w:val="0"/>
        </w:rPr>
        <w:t xml:space="preserve"> minētās izmaksas, ja projekta iesniegumam sniegtais atbalsts ir uzskatāms par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projekta izmaksas ir pieaugušas, finansējuma saņēmējs un sadarbības partneris sedz sadārdzinājumu no saviem līdzekļiem. Ja atbalsta sniegšana pasākuma ietvaros ir kvalificējama kā komercdarbības atbalsts, projekta iesniedzējs un sadarbības partneris privāto finansējumu nodrošina no tādiem pašu līdzekļiem, par kuriem nav saņemts nekāds publisks atbalsts.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Komercdarbības atbalsta saņemšanas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Komercdarbības atbalstu šo noteikumu ietvaros sniedz saskaņā ar regulas Nr. 651/2014 53. pantu.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Projektam netiek piemēroti regulas Nr. 651/2014 53. panta nosacījumi, t. i., sniegtais atbalsts nav uzskatāms par komercdarbības atbalstu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nav saimnieciska rakstura, jo pašu ieņēmumi atbalstītajā objektā ir 50 procenti vai mazāki par 50 procentiem no kultūras jomas pakalpojumu sniedzēja gada budžeta atbalstītajā objektā projekta pārskata periodā;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pašu ieņēmumi atbalstītajā objektā ir lielāki par 50 procentiem no kultūras jomas pakalpojumu sniedzēja gada budžeta, tad projektam ir saimniecisks raksturs, tomēr tas nav kvalificējams kā atbalsts komercdarbībai, ja projektam nav ietekmes uz konkurenci un tirdzniecību Eiropas Savienības iekšējā tirgū, ko vērtē atbilstoši kādam no šādiem kritērijiem: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visiem kultūras jomā sniegto pakalpojumu saņēmējiem atbalstītajā objektā gadā 85 procenti vai vairāk ir Latvijas iedzīvotāji;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īstenotie kultūras pasākumi atbalstītajā objektā pārsvarā notiek latviešu valodā;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objekts netiek plaši reklamēts ārpus Latvijas teritorijas, tai skaitā netiek veiktas starptautiskas mārketinga aktivitātes un citas darbības pārrobežu reklāmas jomā.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Projekta pārskata periodā finansējuma saņēmējs atbilstoši Kultūras ministrijas izstrādātajai komercdarbības atbalsta piemērošanas metodikai specifiskā atbalsta ietvaros reizi gadā līdz kārtējā gada 1. jūnijam izvērtē, vai kultūras nozares projekts atbilst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minētajam nosacījumam.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minētās izmaksas ir attiecināmas saskaņā ar Komisijas regulas Nr. 651/2014 53. panta 4. punkta "c", "d" un "e" apakšpunktu kā ieguldījumu atbalsta izmaksas.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Komercdarbības atbalstu finansējuma saņēmējam piešķir saskaņā ar regulu Nr. 651/2014, ja ievēroti visi šajā punktā minētie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atbalstāmā darbība atbilst vienam vai vairākiem regulas Nr. 651/2014 53. panta 2. punkta "a", "b", "c", "d" vai "e" apakšpunktā norādītajiem mērķiem un darbībām un ir ievēroti regulas Nr. 651/2014 1. panta 2. punkta "c" un "d" apakšpunktā, 3. punktā un 4. punkta "a" apakšpunktā minētie nosacījumi, pēdējo nosacījumu vērtējot uzņēmuma grupas līmenī;</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komercdarbības atbalstu, kurš tiek sniegts saskaņā ar regulas Nr. 651/2014 53. pantu vienam vai vairākiem 53. panta 2. punkta "a", "b", "c", "d" un "e" apakšpunktā minētajiem mērķiem vai darbībām, papildus ir ievērots nosacījums, ka atbalstu nesniedz regulas Nr. 651/2014 53. panta 10. punktā minētajām nozarēm;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ievēroti regulas Nr. 651/2014 1. panta 3. punkta nosacījumi par nozarēm, kurām nepiemēro regulu Nr. 651/2014 un kurām tiek nodrošināta izmaksu nošķiršana, lai darbības izslēgtajās nozarēs negūst labumu no atbalsta, kas piešķirts saskaņā ar regulu Nr. 651/2014;</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saņēmējs un sadarbības partneris projekta iesniegumam pievienojis apliecinājumu par atbilstību Komisijas regulas Nr. 651/2014 2. panta 18. punkta "c" apakšpunkta nosacījumiem.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Lēmumu par atbalsta piešķiršanu saskaņā ar regulu Nr. 651/2014 pieņem līdz regulas Nr. 651/2014 58. panta 4. punktā un 59. pantā noteiktajam termiņam.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Par atbalsta piešķiršanas dienu uzskatāma diena, kad sadarbības iestāde pieņēmusi lēmumu par projekta iesnieguma apstiprināšanu vai sniegusi atzinumu par lēmumā noteikto nosacījumu izpildi, ja iepriekš pieņemts lēmums par projekta iesnieguma apstiprināšanu ar nosacījumu.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Atbalstītajā objektā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minētajā gadījumā ir pieļaujams sniegt papildpakalpojumus, kuriem nav ietekmes uz tirdzniecību un konkurenci Eiropas Savienības iekšējā tirgū.</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Komercdarbības atbalstu šo noteikumu ietvaros drīkst apvienot ar citu komercdarbības atbalstu, tai skaitā ar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nepārsniedzot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starpību starp tiešajām attiecināmajām izmaksām un pamatdarbības peļņu no ieguldījuma, kā arī citā valsts atbalsta programmā, individuālajā atbalsta projektā vai Eiropas Komisijas lēmumā noteikto maksimālā atbalsta summu un atbalsta intensitāti. Šo noteikumu ietvaros pamatdarbības peļņas definīcija atbilst regulas Nr. 651/2014 2. panta 39. punktam.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Sadarbības iestāde nodrošina: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651/2014 9. panta 1. punkta "c" apakšpunktā un 4. punktā noteikto publicitātes pasākumu izpildi atbilstoši normatīvajam aktam par kārtību, kādā publicē informāciju par sniegto komercdarbības atbalstu un piešķir un anulē elektroniskās sistēmas lietošanas tiesības;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651/2014 12. panta 1. punktā noteikto nosacījumu izpildi.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ar komercdarbības atbalstu saistīta projekta dokumentāciju glabā visu projekta pārskata periodu, sākot no dienas, kad tam ir piešķirts individuālais komercdarbības atbalsts saskaņā ar šiem noteikumiem.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komercdarbības atbalstu sniedz saskaņā ar regulas Nr. 651/2014 53. pantu un ja attiecīgajā projektā vai projekta daļā projekta pārskata periodā ir radusies lielāka peļņa no pamatdarbības (neskaitot samērīgas peļņas daļu, kas atbilst tipiskai peļņai kultūras nozares attiecīgajā jomā Latvijas Republikā), nekā projektā plānots, finansējuma saņēmējs projekta pārskata perioda beigās veic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minētās izmaksu un ieguvumu analīzes pārrēķinu un sadarbības iestādei atmaksā starpību starp faktisko un plānoto peļņu no pamatdarbības.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projekts tā ieviešanas gaitā vai projekta pārskata periodā kļūst par projektu, kura ietvaros tiek sniegts komercdarbības atbalsts, tiek piemēroti regulas Nr. 651/2014 53. panta nosacījumi. Ja regulas Nr. 651/2014 53. panta nosacījumus nav iespējams piemērot, piešķirtais atbalsts ir nelikumīgs komercdarbības atbalsts un atbalsta sniedzējs piemēro šo noteikumu </w:t>
      </w:r>
      <w:r w:rsidR="00000000" w:rsidRPr="00000000" w:rsidDel="00000000">
        <w:rPr>
          <w:rtl w:val="0"/>
        </w:rPr>
        <w:t xml:space="preserve">54. </w:t>
      </w:r>
      <w:r w:rsidR="00000000" w:rsidRPr="00000000" w:rsidDel="00000000">
        <w:rPr>
          <w:rtl w:val="0"/>
        </w:rPr>
        <w:t xml:space="preserve">punktā</w:t>
      </w:r>
      <w:r w:rsidR="00000000" w:rsidRPr="00000000" w:rsidDel="00000000">
        <w:rPr>
          <w:rtl w:val="0"/>
        </w:rPr>
        <w:t xml:space="preserve"> minētās nelikumīgā komercdarbības atbalsta atgūšanas normas.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sadarbības iestāde atbalstītajā objektā konstatē komercdarbības atbalstu, tā par to informē finansējuma saņēmēju. Finansējuma saņēmējs 10 darbdienu laikā no informācijas pieprasījuma nosūtīšanas brīža sniedz sadarbības iestādei informāciju, norādot, vai par tām pašām attiecināmajām izmaksām ir plānots piešķirt atbalstu vai, ja tas jau ir piešķirts, norādot atbalsta piešķiršanas datumu, atbalsta sniedzēja nosaukumu, atbalsta pasākumu, plānoto vai piešķirto atbalsta summu un atbalsta intensitāti.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ir pārkāptas regulas Nr. 651/2014 prasības vai ir konstatēts, ka projekts tā ieviešanas gaitā vai projekta pārskata periodā neatbilst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minētajiem gadījumiem un tam nav iespējams piemērot regulas Nr. 651/2014 53. panta nosacījumus, atbalsta saņēmējam ir pienākums atmaksāt sadarbības iestādei saņemto nelikumīgo komercdarbības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24-TA-816</w:t>
    </w:r>
    <w:r>
      <w:br/>
    </w:r>
    <w:r w:rsidR="00000000" w:rsidRPr="00000000" w:rsidDel="00000000">
      <w:rPr>
        <w:rtl w:val="0"/>
      </w:rPr>
      <w:t xml:space="preserve">Izdrukāts 29.07.2026. 21.08 - 1.0.VK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24-TA-816</w:t>
    </w:r>
    <w:r>
      <w:br/>
    </w:r>
    <w:r w:rsidR="00000000" w:rsidRPr="00000000" w:rsidDel="00000000">
      <w:rPr>
        <w:rtl w:val="0"/>
      </w:rPr>
      <w:t xml:space="preserve">Izdrukāts 29.07.2026. 21.08 - 1.0.VK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noteikumu_projekts_24-TA-816.docx</dc:title>
</cp:coreProperties>
</file>

<file path=docProps/custom.xml><?xml version="1.0" encoding="utf-8"?>
<Properties xmlns="http://schemas.openxmlformats.org/officeDocument/2006/custom-properties" xmlns:vt="http://schemas.openxmlformats.org/officeDocument/2006/docPropsVTypes"/>
</file>