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695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8. novembrī (prot. Nr. 56 10.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16. augusta noteikumos Nr. 561 "Darbības programmas "Izaugsme un nodarbinātība" 8.1.1. specifiskā atbalsta mērķa "Palielināt modernizēto STEM, tajā skaitā medicīnas un radošās industrijas, studiju programmu skaitu"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16. augusta noteikumos Nr. 561 "Darbības programmas "Izaugsme un nodarbinātība" 8.1.1. specifiskā atbalsta mērķa "Palielināt modernizēto STEM, tajā skaitā medicīnas un radošās industrijas, studiju programmu skaitu" īstenošanas noteikumi" (Latvijas Vēstnesis, 2016, 169. nr.; 2017, 107. nr.; 2020, 21.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 12.15.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Projekta iesniedzējs specifiskā atbalsta ietvaros iesniedz vienu projekta iesniegumu atbilstoši šo noteikumu 19. punktā minētajam finansējumam."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18.11.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"18.11. Rīgas Tehniskajai universitātei – 11 998 551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 18.15.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Finansējuma saņēmējs projekta īstenošanai nepieciešamo preču un pakalpojumu iegādi veic saskaņā ar normatīvajiem aktiem publisko iepirkumu jomā, īstenojot atklātu, pārredzamu, nediskriminējošu un konkurenci neierobežojošu procedūru. Atbalstāma ir vides prasību integrācija preču, pakalpojumu un būvdarbu iepirkumos ("zaļais publiskais iepirkums")."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Projektu īsteno saskaņā ar noslēgto vienošanos vai līgumu par projekta īstenošanu, bet ne vēlāk kā līdz 2023. gada 30. novembrim."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35.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Lai atbalsts projekta īstenošanai netiktu kvalificēts kā komercdarbības atbalsts, projekta īstenošanas rezultātā attīstītajā infrastruktūrā pamatlīdzekļu un ilgtermiņa ieguldījumu amortizācijas periodā ir pieļaujams veikt papildinošu saimniecisko darbību 20 procentu apmērā no infrastruktūras gada jaudas platības, laika vai finanšu izteiksmē un ir pieļaujams sniegt papildpakalpojumus. Ar papildinošu saimniecisko darbību saprot darbības, kas ir tieši saistītas ar infrastruktūras ekspluatāciju un ir tai nepieciešamas vai nesaraujami saistītas ar tās galveno ar saimniecisko darbību nesaistīto izmantojumu, patērējot tādu pašu resursu (piemēram, materiāli, aprīkojums, darbaspēks, pamatkapitāls) apjomu kā ar saimniecisko darbību nesaistītajām darbībām. Ar papildpakalpojumiem saprot tādus pakalpojumus infrastruktūrā, kurus galvenokārt izmanto tikai ar saimniecisko darbību nesaistītai darbībai un kuriem pašiem par sevi nav ietekmes uz tirdzniecību un konkurenci Eiropas Savienības iekšējā tirgū."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35.</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2</w:t>
      </w:r>
      <w:r w:rsidR="00000000" w:rsidRPr="00000000" w:rsidDel="00000000">
        <w:rPr>
          <w:rtl w:val="0"/>
        </w:rPr>
        <w:t xml:space="preserve"> Sadarbības iestāde reizi gadā projekta infrastruktūras amortizācijas periodā pārbauda veikto investīciju atbilstību šo noteikumu 35.</w:t>
      </w:r>
      <w:r w:rsidR="00000000" w:rsidRPr="00000000" w:rsidDel="00000000">
        <w:rPr>
          <w:vertAlign w:val="superscript"/>
          <w:rtl w:val="0"/>
        </w:rPr>
        <w:t xml:space="preserve">1</w:t>
      </w:r>
      <w:r w:rsidR="00000000" w:rsidRPr="00000000" w:rsidDel="00000000">
        <w:rPr>
          <w:rtl w:val="0"/>
        </w:rPr>
        <w:t xml:space="preserve"> punktā minētajiem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35.</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3</w:t>
      </w:r>
      <w:r w:rsidR="00000000" w:rsidRPr="00000000" w:rsidDel="00000000">
        <w:rPr>
          <w:rtl w:val="0"/>
        </w:rPr>
        <w:t xml:space="preserve"> Ja sadarbības iestāde konstatē, ka ir pārkāptas šajos noteikumos noteiktās komercdarbības atbalsta kontroles normas, finansējuma saņēmējam ir pienākums atmaksāt sadarbības iestādei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Ja projekta īstenošanas laikā finansējuma saņēmējam ir paredzēts avanss, to var izmaksāt pa daļām. Viens avansa maksājums nepārsniedz 30 procentus. Šo noteikumu 19. punktā minētajiem finansējuma saņēmējiem, izņemot šo noteikumu 19.12. apakšpunktā minēto finansējuma saņēmēju, avansa un starpposma maksājumu kopsumma var būt 100 procenti no projektam piešķirtā Eiropas Reģionālās attīstības fonda finansējuma un valsts budžeta līdzfinansējuma kopsummas."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V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 Noslēguma jautājumi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Šo noteikumu 14. punktā minētais ierobežojums par viena projekta iesnieguma iesniegšanu neattiecas uz gadījumiem, kad projekta īstenošanas laikā pēc strukturālo reformu veikšanas projekta iesniedzējam saskaņā ar Ministru kabineta rīkojumu par reorganizāciju ir pienākums īstenot vairākus projektus.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Grozījumi šo noteikumu 12.15. apakšpunktā, 14. punktā, 18.11. un 18.15. apakšpunktā, kas saistīti ar  Latvijas Jūras akadēmijas reorganizāciju,  piemērojami ar 2022. gada 1. novembri."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Muižniece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22-TA-2870</w:t>
    </w:r>
    <w:r>
      <w:br/>
    </w:r>
    <w:r w:rsidR="00000000" w:rsidRPr="00000000" w:rsidDel="00000000">
      <w:rPr>
        <w:rtl w:val="0"/>
      </w:rPr>
      <w:t xml:space="preserve">Izdrukāts 29.07.2026. 23.20 - 1.0.VK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22-TA-2870</w:t>
    </w:r>
    <w:r>
      <w:br/>
    </w:r>
    <w:r w:rsidR="00000000" w:rsidRPr="00000000" w:rsidDel="00000000">
      <w:rPr>
        <w:rtl w:val="0"/>
      </w:rPr>
      <w:t xml:space="preserve">Izdrukāts 29.07.2026. 23.20 - 1.0.VK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noteikumu_(grozījumu)_projekts_22-TA-2870.docx</dc:title>
</cp:coreProperties>
</file>

<file path=docProps/custom.xml><?xml version="1.0" encoding="utf-8"?>
<Properties xmlns="http://schemas.openxmlformats.org/officeDocument/2006/custom-properties" xmlns:vt="http://schemas.openxmlformats.org/officeDocument/2006/docPropsVTypes"/>
</file>