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trešās komponentes "Nevienlīdzības mazināšana" 3.1. reformu un investīciju virziena "Reģionālā politika" 3.1.1.6.i. investīcijas "Pašvaldību funkciju īstenošanai un pakalpojumu sniegšanai nepieciešamo bezemisiju transportlīdzekļu iegāde"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Atveseļošanas fonds) plāna 3.1.1.6.i. investīciju "Pašvaldību funkciju īstenošanai un pakalpojumu sniegšanai nepieciešamo bezemisiju transportlīdzekļu iegāde" (turpmāk – investīcija),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ieviešanā iesaistītās institūcijas, to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uzlabot pašvaldību funkciju īstenošanu un sniegtos pakalpojumus, galveno uzmanību pievēršot izglītojamo mobilitātei un vienlaikus veicinot skolu tīkla sasniedzamību. Investīcijas sekundārais mērķis ir veicināt publiskā sektora transporta zaļināšanu Latvijā, investējot bezemisiju transportlīdzekļos.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grupa ir pašvaldības un izglītojamie.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Atveseļošanas fonda finansējumu investīcijas ietvaros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vieta ir Latvijas Republikas teritorija, izņemot Rīgas valstspilsētas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netiek atbalstītas tādas projekta iesniedzēja darbības, kurām atbalsts ir kvalificējams kā komercdarbības atbalsts. Investīcijas ietvaros atbalsts tiek piešķirts, lai saskaņā ar normatīvajiem aktiem pašvaldību darbības jomā īstenotu pašvaldības funkciju – iedzīvotāju izglītības nodrošināšana – un nodrošinātu no šīs funkcijas izrietošo pārvaldes uzdevumu izpildi. Investīcijas ieviešanā pieļaujams, ka projekta ietvaros iegādāto elektroautobusu izglītojamo pārvadāšanai (turpmāk – bezemisiju transportlīdzeklis) un tā darbības nodrošināšanai paredzēto uzlādes infrastruktūru (ja attiecināms) vismaz 80 procentu apjomā no to gada jaudas laika izteiksmē izmanto pašvaldības funkcijas – iedzīvotāju izglītības nodrošināšana – īstenošanai un no šīs funkcijas izrietošo pārvaldes uzdevumu izpildei un līdz 20 procentiem no gada jaudas laika izteiksmē – papildinošas saimnieciskās darbības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par papildinošu saimniecisko darbību uzskata izglītojamo mobilitātes nodrošināšanu pasākumos, kas ir tieši saistīti ar izglītības procesu, piemēram, izglītojamo nodrošināšana ar transportu braucienam uz teātri, koncertu, ekskursijā un līdzīgiem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Investīcijai pieejamais Atveseļošanas fonda finansējums ir 8 799 261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nodrošina investīcijas projekta (turpmāk – projekts) darbību īstenošanu un plānotās izmaksas priekšfinansē no saviem līdzekļiem, izņemot gadījumu, ja projektā plānots avanss saskaņā ar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Centrālā finanšu un līgumu aģentūra (turpmāk – aģentūra), ja tai ir pieejami valsts budžeta līdzekļi, pēc civiltiesiskā līguma vai vienošanās par projekta īstenošanu noslēgšanas, pamatojoties uz finansējuma saņēmēja avansa pieprasījumu un izvērtējot plānotā avansa apmēru, tā pamatojumu un finansējuma saņēmēja spēju to izlietot sešu mēnešu laikā saimnieciskā gada ietvaros (projekta iesniedzējam ir noslēgusies izsludinātā bezemisiju transportlīdzekļa iepirkuma procedūra vai noslēgts būvdarbu līgums par uzlādes infrastruktūras izveidi, ja attiecināms), var piešķirt finansējuma saņēmējam vienu vai vairākus avansa maksājumus, kuru kopsumma ar starpposmu maksājumiem nepārsniedz 80 procentus no projektam piešķirtā Atveseļošanas fonda finansējuma apjoma. Atlikušo projekta Atveseļošanas fonda finansējuma daļu, kas ir vismaz 20 procenti no projekta kopējā Atveseļošanas fonda finansējuma apjoma (saskaņā ar faktiskajām projekta izmaksām), finansējuma saņēmējs saņem pēc tam, kad aģentūra ir apstiprinājusi projektā paredzēto darbību pabeigšanu (tai skaitā projektā paredzēto būvdarbu pabeigšanu un būves pieņemšanu ekspluatācijā) un projekta mērķu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Atveseļošanas fonda finansējuma rezultātu sasniegšanu vērtē, ņemot vērā investīcijas ietvaros sasniedzamos mērķus un uzraudzības rādītāju: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ir izraudzīti finansējuma saņēmēji (uzraudzības rādītājs);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apjoms saskaņā ar līgumiem, kas noslēgti par bezemisiju transportlīdzekļu iegādi pašvaldības funkciju veikšanai un pārvaldes uzdevumu izpildei (mērķis): līdz 2024. gada 31. decembrim noslēgti civiltiesiskie līgumi vai vienošanās par projektu īstenošanas tiesību piešķiršanu bezemisiju transportlīdzekļu iegādei vietējo pašvaldību funkciju veikšanai un pārvaldes uzdevumu izpildei par kopējo vērtību vismaz 8 300 000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iegādāto bezemisiju transportlīdzekļu jeb elektrisko skolas autobusu skaits (mērķis): līdz 2025. gada 31. decembrim iegādāti 15 elektriskie bezemisiju transportlīdzekļi un veikta to piegāde pašvaldībām kā finansējuma saņēmējām (izglītojamo pašvaldības transportam).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w:t>
      </w:r>
      <w:r w:rsidR="00000000" w:rsidRPr="00000000" w:rsidDel="00000000">
        <w:rPr>
          <w:rtl w:val="0"/>
        </w:rPr>
        <w:t xml:space="preserve"> minētais uzraudzības rādītājs ir izpildīts, kad ir veikta projektu iesniegumu atlase un apstiprināts potenciālo finansējuma saņēmēju saraksts (pieņemti lēmumi par projektu iesniegumu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minētais mērķis ir izpildīts, kad aģentūras tīmekļvietnē ir publicēts paziņojums par projektu iesniegumu atlases rezultātiem un ir noslēgti 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minētie civiltiesiskie līgumi vai vienošanās par projekta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 apakšpunktā</w:t>
      </w:r>
      <w:r w:rsidR="00000000" w:rsidRPr="00000000" w:rsidDel="00000000">
        <w:rPr>
          <w:rtl w:val="0"/>
        </w:rPr>
        <w:t xml:space="preserve"> minētais mērķis ir izpildīts, kad aģentūrā ir iesniegts bezemisiju transportlīdzekļa pirkuma līgums, pieņemšanas un nodošanas akts vai cits pirkumu un piegādi apliecinošs dokuments, kā arī uzlādes infrastruktūras izveide, ja attiecināms, tiek pamatota ar dokumentiem par pieņemšanu ekspluatācijā saskaņā ar būvniecības jomu reglamentējošajiem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investīcijas ieviešanu atbildīgā nozares ministrija ir Viedās administrācijas un reģionālās attīstības ministrija, kas  saskaņā ar normatīvajiem aktiem par Eiropas Savienības Atveseļošanas fonda plāna īstenošanu un uzraudzību nodrošina investīcijas ieviešanu.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projektu iesniegumu atlasi saskaņā ar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pārbaudes projektu īstenošanas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 nozares ekspertus un citu institūciju pārstāvjus projektu iesniegumu atlases un projektu īstenošanas uzraudzības posmā,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slēgt civiltiesisku līgumu vai vienošanos par projekta īstenošanu un atbilstoši normatīvajiem aktiem par Atveseļošanas fonda plāna īstenošanu un uzraudzību projektu īstenošanas uzraudzības ietvaros nodrošināt, ka finansējuma saņēmējs ievēro prasības, ko nosaka šie noteikumi un civiltiesiskais līgums vai vienošanās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projektu īstenošanas uzraudzību saskaņā ar normatīvajiem aktiem par Eiropas Savienības Atveseļošanas fonda plāna īstenošanu un uzraudzību, tai skaitā pārbaudīt, vai nav konstatējamas pazīmes par pieļautu interešu konflikta, korupcijas, krāpšanas un dubultā finansējuma situāciju projekta vērtēšanā un īstenošanā, kā arī nodrošināt nelikumīgi piešķirta komercdarbības atbalsta atgūšanu, ja tiek pārkāpti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maksājumu pieprasījumu un projektu progresa pārskatu izskatīšanu un saskaņošanu;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apturēt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maksājumu veikšanu vai lemt par Atveseļošanas fonda finansējuma atgūšanu no finansējuma saņēmēja atbilstoši šo noteikumu </w:t>
      </w:r>
      <w:r w:rsidR="00000000" w:rsidRPr="00000000" w:rsidDel="00000000">
        <w:rPr>
          <w:rtl w:val="0"/>
        </w:rPr>
        <w:t xml:space="preserve">66.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panta 1., 2. un 3. punktā un 27. pantā minēto datu uzkrāšanu Kohēzijas politikas fondu vadības informācijas sistēmā (turpmāk – vadības informācijas sistēma), tai skaitā Atveseļošanas fonda īstenošanas progresa pusgada ziņojuma un maksājuma pieprasījuma sagatavošanai nepieciešamo informāciju un sasniedzamo mērķu uzskaiti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Atveseļošanas fonda projektu mērķu (tai skaitā datu) un uzraudzības rādītāju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pārbaudes par projekta ietvaros sniegto datu ticamību un to atbilstību prasībām, ko nosaka civiltiesiskais līgums vai vienošanās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un Viedās administrācijas un reģionālās attīstības ministrija slēdz starpresoru vienošanos par sadarbību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pienākumu izpildē.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Aģentūrai ir tiesības pieprasīt projekta iesniedzējam informāciju, kas nepieciešama, lai nodrošinātu projekta īstenošanas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ietvaros ir atbalstāmi projekti, kuru īstenošanas rezultātā finansējuma saņēmējs pārtrauc ekspluatēt tādu vismaz trīs gadus tā īpašumā esošu ar fosilās izcelsmes degvielu darbināmu M2 vai M3 kategorijas transportlīdzekli, kas ir tehniskā kārtībā un kura vecums uz projekta iesniegšanas brīdi, ņemot vērā tā pirmreizējās reģistrācijas gadu, ir vismaz 20 pilni kalendāra gadi un kura motora izmešu līmenis ir EURO III vai vairāk piesārņojošs, paredzot to aizstāt ar M2 vai M3 kategorijas bezemisiju transportlīdzekli, kas par vienīgo mehānisko dzinējspēku izmanto enerģiju no transportlīdzeklī glabātās elektroenerģijas un kura siltumnīcefekta gāzu (turpmāk – SEG) emisijas ir 0 g CO</w:t>
      </w:r>
      <w:r w:rsidR="00000000" w:rsidRPr="00000000" w:rsidDel="00000000">
        <w:rPr>
          <w:vertAlign w:val="subscript"/>
          <w:rtl w:val="0"/>
        </w:rPr>
        <w:t xml:space="preserve">2</w:t>
      </w:r>
      <w:r w:rsidR="00000000" w:rsidRPr="00000000" w:rsidDel="00000000">
        <w:rPr>
          <w:rtl w:val="0"/>
        </w:rPr>
        <w:t xml:space="preserve">/km, un, ja nepieciešams, tiks izveidota bezemisiju transportlīdzekļa darbībai paredzētā uzlādes infrastruktūra.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atbalstāmās darbības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M2 vai M3 kategorijas mehānisko  transportlīdzekļu iegāde, kas definēti Eiropas Parlamenta un Padomes 2018. gada 30. maija Regulas (ES) Nr.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 1. punkta "a" apakšpunktā noteiktajam transportlīdzekļu kategoriju dalījumam un kuri darbojas ar elektroenerģiju. Minēto transportlīdzekļu nobraukums starp pilnas uzlādes reizēm atbilstoši normatīvajiem aktiem par mopēdu, mehānisko transportlīdzekļu, to piekabju un sastāvdaļu atbilstības novērtēšanu testa braukšanas ciklam pilsētas apstākļos vai ārpus pilsētas ir vismaz 200 kilometri (turpmāk – km) un transportlīdzekļu maksimālais ātrums ir vismaz 90 km stundā. Šo noteikumu izpratnē ar jaunu M2 vai M3 kategorijas bezemisiju transportlīdzekli saprot: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M2 vai M3 kategorijas transportlīdzekli, kas nav bijis pastāvīgi reģistrēts un kas pastāvīgā uzskaitē tā galalietotājam Latvijā tiek reģistrēts pirmo reizi, un kura odometra rādījums (nobraukums) uz pastāvīgās uzskaites reģistrācijas brīdi nepārsniedz 6000 km;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M2 vai M3 kategorijas bezemisiju transportlīdzekli  pārbūvētu transportlīdzekli, kas kā bezemisiju transportlīdzeklis nav bijis pastāvīgi reģistrēts un kas pastāvīgā uzskaitē tā galalietotājam Latvijā kā bezemisiju transportlīdzeklis tiek reģistrēts pirmo reizi, vienlaikus ievērojot, ka atbalstāma par bezemisiju transportlīdzekli pārbūvēta ar fosilās izcelsmes degvielu darbināma transportlīdzekļa iegāde, kas nav vecāks par 10 gadiem kopš tā pirmreizējās reģistrācijas brīža;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 bezemisiju transportlīdzekļa uzlādes punkta infrastruktūras izveide atbilstoši ieguldījumu veidam –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M2 vai M3 kategorijas bezemisiju transportlīdzekļu darbības nodrošināšanai ar uzlādes punkta izejas jaudu, kas atbilst projekta iesniegumā un projekta ietvaros plānotā M2 vai M3 kategorijas bezemisiju transportlīdzekļa darbības nodrošināšanai.  M2 un M3 kategorijas bezemisiju transportlīdzekļu uzlādes punkta tehniskās prasības atbilst normatīvajos aktos, kas regulē prasības elektrotransportlīdzekļu uzlādes iekārtām,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nav atbalstāma lietotu bezemisiju transportlīdzekļu iegāde vai tādu transportlīdzekļu iegāde, kas neatbilst šo noteikumu </w:t>
      </w:r>
      <w:r w:rsidR="00000000" w:rsidRPr="00000000" w:rsidDel="00000000">
        <w:rPr>
          <w:rtl w:val="0"/>
        </w:rPr>
        <w:t xml:space="preserve">20.1.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iesniegumā var plānot uzlādes punktu skaitu, kas nepārsniedz projekta ietvaros iegādāto M2 vai M3 kategorijas bezemisiju transportlīdzekļu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Investīcijas attiecināmās izmaksas, kas ir saistītas 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pamatojošās dokumentācijas sagatavošanas izmaksas (izņemot projekta iesnieguma veidlapas aizpildīšanas izmaksas), nepārsniedzot piecus procentus no projekta kopējām attiecināmajām izmaksām,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būvdarbu ieceres dokumentācijas, būvprojekta minimālā sastāvā, apliecinājuma kartes, paziņojuma par būvniecību vai paskaidrojuma raksta izstrāde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ekspertīzes un izpētes izmaksas, ja to veikšana ir priekšnosacījums būvprojekta, būvdarbu ieceres dokumentācijas vai būvprojekta minimālā sastāvā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M2 vai M3 kategorijas bezemisiju transportlīdzekļa iegādes izmaksas, tai skaitā monitoringa sistēmas vai globālās pozicionēšanas sistēmas un videoreģistratora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 uzlādes punkta infrastruktūras izveides izmaksas, nepārsniedzot 20 procentus no projekta kopējām attiecināmajām izmaksām,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uzlādes punkta iegādes, piegādes, montāžas un būvdarbu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uzlādes punktam nepieciešamo stāvvietu un piebrauktuvju izbūves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uzlādes punkta infrastruktūras drošības sistēmu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būvobjekta (uzlādes punkta un ar to saistītās infrastruktūras) nodošanu ekspluatācijā saskaņā ar būvniecības jomu reglamentējošajiem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ietvaros iegādātā bezemisiju transportlīdzekļa īpašnieka civiltiesiskās atbildības obligātās apdrošināšanas un brīvprātīgās sauszemes transportlīdzekļu apdrošināšanas izmaksas, kuru termiņš  nepārsniedz 2026. gada 31. augustu.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Pievienotās vērtības nodokļa izmaksas un izmaksas, kas pārsniedz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minētos procentuālos ierobežojumus, finansējuma saņēmējs norāda projekta iesniegumā un veic projekta ietvaros, bet tās nav attiecināmas finansēšanai no Atveseļošanas fonda finansējuma. Finansējuma saņēmējs minētās izmaksas sedz no saviem līdzekļiem vai cita piesaistīta finansējuma, kas nav Atveseļošanas fonda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Ieguldījumus bezemisiju transportlīdzekļa uzlādes infrastruktūrā finansējuma saņēmējs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tās izveidotas iestādes īpašumā vai valdījumā esošā īpašumā, ja valdījuma tiesības ir nostiprinātas vismaz līdz 2031.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pašvaldības kapitālsabiedrības īpašumā, kas pilda pašvaldības deleģētos pārvaldes uzdevumus.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Līdz brīdim, kad tiek noslēgts civiltiesiskais līgums vai vienošanās par projekta īstenošanu, finansējuma saņēmēja tiesībām veikt ieguldījumus zemes īpašumā jābūt nostiprinātām valsts vienotajā zemesgrāmatā.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ir attiecināmas no projekta iesnieguma iesniegšanas brīža, izņemot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minētās izmaksas, kas ir attiecināmas no 2020. gada 1. februāra. Projekta iesniegumā neiekļauj un finansējumu nepiešķir pabeigtām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paredzētās izmaksas ir attiecināmas, ja ar saimniecisko darbību nesaistīta projekta ietvaros iegādāto M2 vai M3 kategorijas  bezemisiju transportlīdzekli un tā darbības nodrošināšanai izveidoto uzlādes infrastruktūru (ja attiecināms) izmanto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paredzētās papildinošās saimnieciskās darbības veikšanai, kas kopumā nepārsniedz 20 procentus no to gada jaudas laika izteiksmē.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kas pēc projekta iesnieguma apstiprināšanas un civiltiesiskā līguma vai vienošanās par projekta īstenošanu noslēgšanas ir finansējuma saņēmējs,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(izņemot Rīgas valstspilsētas pašvaldību) vai tās izveidota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(izņemot Rīgas valstspilsētas pašvaldību) kapitālsabiedrība, kas pilda pašvaldības deleģētos pārvaldes uzdevumus.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projekta iesniegumu aģentūrā iesniedz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kārtību, kādā pašvaldība nodrošina transporta pakalpojumus, lai nodrošinātu izglītojamo nokļūšanu izglītības iestādē vai citā mācību īstenošanas vietā un atpakaļ dzīvesvietā;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specifikāciju projekta ietvaros plānotā M2 vai M3 kategorijas bezemisiju transportlīdzekļa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uzlādes punkta izbūvei nepieciešamās infrastruktūras īpašumtiesībām, kā arī par būvniecības, lietošanas, uzturēšanas un attīstības (tai skaitā modernizēšanas, pārbūves) kārtību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kārtību, kādā tiek uzraudzīta iegādāto pamatlīdzekļu izmantošana projekta dzīves cikla laikā (M2 vai M3 kategorijas bezemisiju transportlīdzekļa un tā darbības nodrošināšanai izveidotās uzlādes infrastruktūras amortizācijas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Ievērojot minimālo attiecību starp investīcijai pieejamo kopējo Atveseļošanas fonda finansējumu un investīcijas ietvaros kopējo sasniedzamo mērķa vērtību, vienā pašvaldībā iesniedz ne vairāk kā vienu projekta iesniegumu, kura kopējais projekta Atveseļošanas fonda finansējums nepārsniedz 666 660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ietvaros paredzēts iegādāties M2 kategorijas bezemisiju transportlīdzekli vai par bezemisiju transportlīdzekli pārbūvētu transportlīdzekli, Atveseļošanas fonda finansējums par vienu transportlīdzekļa vienību nepārsniedz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projekta ietvaros iegādāto M2 vai M3 kategorijas bezemisiju transportlīdzekli reģistrē Latvijas Republikā, tai skaitā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bezemisiju transportlīdzekli iegādājas no ražotāja vai tā oficiālā pārstāvja, kas ir komersants un ko ražotājs ir oficiāli pilnvarojis pārstāvēt savas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transportlīdzeklim ir veikta transportlīdzekļa atbilstības novērtēšana saskaņā ar normatīvajiem aktiem par mehānisko transportlīdzekļu un to sastāvdaļu atbilstības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iesniedzējs projekta iesniegumā plāno mērķu sasniegšanu vismaz šādā apjomā: līdz 2025. gada 31. decembrim iegādāts vismaz viens bezemisiju transportlīdzeklis un pabeigti būvdarbi (ja attiecināms), kas saistīti ar uzlādes punkta infrastruktūras izveidi.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iesniedzējs ievēro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iesniegumam ir pievienots apliecinājums, ka pēc transportlīdzekļa ekspluatācijas (gan attiecībā uz aizstājamajām transportlīdzekļu vienībām, gan uz bezemisiju transportlīdzekļiem) tas tiks utilizēts atbilstoši normatīvajiem aktiem nolietotu transportlīdzekļu apsaimniekošanas jomā, paredzot, ka tas tiks nodots apstrādes uzņēmumam, kas nodrošina nolietotu transportlīdzekļu pārstrādi un atkārtoti izmantojamo detaļu un materiālu atguvi un atgriešanu tautsaimniecībā, izņemot Ukrainas civiliedzīvotāju atbalsta likuma 11. panta otrajā daļā paredzētajā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ir iekļauts pašvaldības attīstības  programmā, un projekta ietvaros paredzēto darbību īstenošana (bezemisiju transportlīdzekļa iegāde un vismaz viena ar fosilās izcelsmes degvielu darbināma transportlīdzekļa utilizēšana) uzlabos gaisa kvalitāti.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Projektā plānotajām darbībām un izmaksām maksimālā Atveseļošanas fonda finansējuma intensitāte ir 100 procentu no projekta kopējām attiecināmajām izmaksām bez pievienotās vērtības nodokļa.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gaitā, tai skaitā pēc projektā veiktajiem iepirkumiem, ir izveidojies finanšu ietaupījums, aģentūra, saskaņojot to ar Viedās administrācijas un reģionālās attīstības ministriju, var lemt par minētā ietaupījuma pārdali šādā prioritārā secībā: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darbību īstenošanai projektā, kurā radies ietaupījums, paredzot papildu mērķu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projektu īstenošanai, kuri projektu iesniegumu atlasē netika atbalstīti ierobežotā Atveseļošanas fonda finansējuma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iesniegumus atlasa atklātā projektu iesniegumu atlasē.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izsludina projektu iesniegumu atlasi, informāciju par projektu iesniegumu atlases izsludināšanu, pagarināšanu, pārtraukšanu vai izbeigšanu publicējot oficiālajā izdevumā "Latvijas Vēstnesis" un tīmekļvietnē  </w:t>
      </w:r>
      <w:r w:rsidR="00000000" w:rsidRPr="00000000" w:rsidDel="00000000">
        <w:rPr>
          <w:rtl w:val="0"/>
        </w:rPr>
        <w:t xml:space="preserve">www.cfla.gov.lv</w:t>
      </w:r>
      <w:r w:rsidR="00000000" w:rsidRPr="00000000" w:rsidDel="00000000">
        <w:rPr>
          <w:rtl w:val="0"/>
        </w:rPr>
        <w:t xml:space="preserve">. Aģentūra projektu iesniegumu iesniegšanai nosaka termiņu, kas nav īsāks par trim mēnešiem. Projekta iesniegumu iesniedz vadības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projektu iesniegumu iesniegšanas termiņa beigām, netiek vērtēts. Aģentūra par to informē projekta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Komisijas sastāvā ir aģentūras pārstāvji, vismaz divi pārstāvji no Viedās administrācijas un reģionālās attīstības ministrijas (par investīcijas ieviešanu atbildīgās nozares ministrijas pārstāvis un par reģionālās attīstības politiku atbildīgās nozares ministrijas pārstāvis) un pārstāvis no Izglītības un zinātnes ministrijas.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pielikumā</w:t>
      </w:r>
      <w:r w:rsidR="00000000" w:rsidRPr="00000000" w:rsidDel="00000000">
        <w:rPr>
          <w:rtl w:val="0"/>
        </w:rPr>
        <w:t xml:space="preserve"> iekļautajiem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kritērijs. Ja konstatē, ka uz projekta iesniedzēju ir attiecināms izslēgšanas kritērijs, turpmāko projekta iesnieguma vērtēšanu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kas ietver projekta vispārīgos un specifiskos atbilstības kritērijus, lai gūtu pārliecību, ka projekta iesniegums atbilst  nosacījumiem, lai kvalificētos finansējumam investīcijas ietvaros, tai skaitā atbilst Atveseļošanas fonda plānā noteiktajam principam "nenodarīt būtisku kaitējumu";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kas ietver projekta iesnieguma kvalitātes minimālās prasības: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projekti, kas atbilst kvalitātes kritēriju minimālajām prasībām, tiek sarindoti pēc augstākā kvalitātes kritērijos iegūtā kopējā punktu skaita un priekšroka tiek dota projektam ar lielāko kopējo punktu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vienāda kopējā punktu skaita gadījumā priekšroku dod projektam, kurā plānota ekspluatācijas pārtraukšana tādam projekta iesniedzēja vismaz trīs gadus īpašumā esošam ar fosilās izcelsmes degvielu darbināmam M2 vai M3 kategorijas transportlīdzeklim, kas ir tehniskā kārtībā un kura vecums (gados un mēnešos) kopš tā pirmreizējās reģistrācijas gada uz projekta iesnieguma iesniegšanas dienu ir lielāks. Ja projekta ietvaros plānots aizstāt vairāk nekā vienu vismaz trīs gadus projekta iesniedzēja īpašumā  esošu ar fosilās izcelsmes degvielu darbināmu M2 vai M3 kategorijas transportlīdzekli, kas ir tehniskā kārtībā, tad ņem vērā to vienu no vairākiem transportlīdzekļiem, kura vecums pilnos kalendāra gados uz projekta iesnieguma iesniegšanas dienu ir lielāks. Ja projektos ir vienāds aizstājamā M2 vai  M3 kategorijas transportlīdzekļa vecums (gados un mēnešos) kopš tā pirmreizējās reģistrācijas gada, tad vienāda punktu skaita gadījumā priekšroku dod projektam, kurā Atveseļošanas fonda finansējums uz vienu plānoto  M2 vai  M3 kategorijas bezemisiju transportlīdzekli ir mazāks;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izveidojas pieejamā Atveseļošanas fonda finansējuma atlikums, kas nav pietiekams nākamā kvalitatīvā projekta atbalstīšanai, vai projekta iesniedzējs atsakās īstenot projektu ar samazinātu Atveseļošanas fonda finansējumu, tad atlikušo Atveseļošanas fonda finansējumu izmanto, lai atbalstītu nākamo projekta iesniegumu ar augstāko vērtējumu saskaņā ar kvalitātes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un projekta iesniedzēja juridisko statusu, izdod administratīvo aktu (ievērojot </w:t>
      </w:r>
      <w:r w:rsidR="00000000" w:rsidRPr="00000000" w:rsidDel="00000000">
        <w:rPr>
          <w:rtl w:val="0"/>
        </w:rPr>
        <w:t xml:space="preserve">Administratīvā procesa likumā</w:t>
      </w:r>
      <w:r w:rsidR="00000000" w:rsidRPr="00000000" w:rsidDel="00000000">
        <w:rPr>
          <w:rtl w:val="0"/>
        </w:rPr>
        <w:t xml:space="preserve"> noteiktos termiņus) vai pieņem pārvaldes lēmumu (mēneša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izslēgšanas kritērijs;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 tai skaitā projekta iesniegumā ir izpildītas šo noteikumu </w:t>
      </w:r>
      <w:r w:rsidR="00000000" w:rsidRPr="00000000" w:rsidDel="00000000">
        <w:rPr>
          <w:rtl w:val="0"/>
        </w:rPr>
        <w:t xml:space="preserve">pielikumā</w:t>
      </w:r>
      <w:r w:rsidR="00000000" w:rsidRPr="00000000" w:rsidDel="00000000">
        <w:rPr>
          <w:rtl w:val="0"/>
        </w:rPr>
        <w:t xml:space="preserve"> noteikto kvalitātes kritēriju minimālās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Nosacījumus lēmumā ietver un to izpildi kontrolē, ņemot vērā 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minēto mērķi. Ja kāds no lēmumā noteiktajiem nosacījumiem netiek izpildīts vai netiek izpildīts lēmumā noteiktajā termiņā vai projekta iesniedzēja iesniegtās informācijas dēļ projekta iesniegums neatbilst projektu iesniegumu vērtēšanas kritērijiem, projekta iesniegums uzskatāms par noraidītu. Ja nosacījumi tiek izpildīti, aģentūra sniedz atzinumu par lēmumā noteikto nosacījumu 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izslēgšanas kritērijs;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projekta iesnieguma nepilnības saskaņā ar šo noteikumu </w:t>
      </w:r>
      <w:r w:rsidR="00000000" w:rsidRPr="00000000" w:rsidDel="00000000">
        <w:rPr>
          <w:rtl w:val="0"/>
        </w:rPr>
        <w:t xml:space="preserve">45.</w:t>
      </w:r>
      <w:r w:rsidR="00000000" w:rsidRPr="00000000" w:rsidDel="00000000">
        <w:rPr>
          <w:rtl w:val="0"/>
        </w:rPr>
        <w:t xml:space="preserve"> punktu</w:t>
      </w:r>
      <w:r w:rsidR="00000000" w:rsidRPr="00000000" w:rsidDel="00000000">
        <w:rPr>
          <w:rtl w:val="0"/>
        </w:rPr>
        <w:t xml:space="preserve">, tai skaitā nav izpildītas šo noteikumu </w:t>
      </w:r>
      <w:r w:rsidR="00000000" w:rsidRPr="00000000" w:rsidDel="00000000">
        <w:rPr>
          <w:rtl w:val="0"/>
        </w:rPr>
        <w:t xml:space="preserve">pielikumā</w:t>
      </w:r>
      <w:r w:rsidR="00000000" w:rsidRPr="00000000" w:rsidDel="00000000">
        <w:rPr>
          <w:rtl w:val="0"/>
        </w:rPr>
        <w:t xml:space="preserve"> noteikto kvalitātes kritēriju minimālās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Investīcijas un projektu īstenošanas un uzraudzības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vai centralizēto iepirkumu institūcija projekta īstenošanai nepieciešamo preču un pakalpojumu iegādi veic saskaņā ar publisko iepirkumu reglamentējošajiem normatīvajiem aktiem, īstenojot atklātu, pārredzamu, nediskriminējošu un konkurenci nodrošinošu konkursa procedūru. Finansējuma saņēmējs projekta ietvaros nodrošina vides prasību integrāciju preču un pakalpojumu iepirkumos – zaļais publiskais iepirkums – un vides un informācijas pieejamību transportlīdzekļos – sociāli atbildīgs publiskais iepirkums.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nodrošina progresa informācijas uzkrāšanu, tai skaitā mērķus pamatojošo datu ievadi un uzkrāšanu, kā arī citu nepieciešamo datu ievadi vadības informācijas sistēmā vismaz divas reizes gadā civiltiesiskajā līgumā vai vienošanās par projekta īstenošanu noteiktajos termiņos.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piecu darbdienu laikā pēc civiltiesiskā līguma vai vienošanās par projekta īstenošanu noslēgšanas vadības informācijas sistēmā iesniedz plānoto maksājumu pieprasījumu iesniegšanas grafiku un naudas plūsmu.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saņēmējam ir pienākums piecu darbdienu laikā pēc civiltiesiskā līguma vai vienošanās par projekta īstenošanu noslēgšanas vadības informācijas sistēmā iesniegt iepirkumu plānu par visiem investīcijas ieviešanai plānotajiem iepirkumiem, kuru rīkošanai paredzēts piemērot publisko iepirkumu regulējumu saskaņā ar </w:t>
      </w:r>
      <w:r w:rsidR="00000000" w:rsidRPr="00000000" w:rsidDel="00000000">
        <w:rPr>
          <w:rtl w:val="0"/>
        </w:rPr>
        <w:t xml:space="preserve">Publisko iepirkumu likumu</w:t>
      </w:r>
      <w:r w:rsidR="00000000" w:rsidRPr="00000000" w:rsidDel="00000000">
        <w:rPr>
          <w:rtl w:val="0"/>
        </w:rPr>
        <w:t xml:space="preserve"> vai normatīvajiem aktiem par iepirkuma procedūru un tās piemērošanas kārtību pasūtītāja finansētajiem projektiem.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Avansa maksājuma saņemšanai finansējuma saņēmējs atver kontu Valsts kasē.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sagatavo un iesniedz aģentūrā pārskatu par projekta īstenošanas progresu un maksājuma pieprasījumu, ievērojot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un nodrošinot, ka vispirms tiek iesniegts maksājuma pieprasījums par piešķirto avansu un pēc tam tiek iesniegts maksājuma pieprasījums par atlikušo projekta Atveseļošanas fonda finansējuma daļu, par kuru netika saņemts avansa maksājums. Aģentūra izvērtē iesniegtajā maksājuma pieprasījumā iekļauto izmaksu atbilstību investīcijas ieviešanas un civiltiesiskajā līgumā vai vienošanās par projekta īstenošanu noteiktajiem nosacījumiem un veic Atveseļošanas fonda finansējuma vai tā daļas atmaksu finansējuma saņēmējam saskaņā ar faktiskajām projekta izmaksām, ievērojot civiltiesiskajā līgumā vai vienošanās par projekta īstenošanu noteiktos nosacījumus un nepārsniedzot kopējo projektam piešķirto Atveseļošanas fonda finansējuma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finansējuma saņēmējam ir piešķirts avansa maksājums projekta īstenošanai, finansējuma saņēmējs iesniedz aģentūrā maksājuma pieprasījumu piešķirtā avansa maksājuma apmērā sešu mēnešu laikā pēc avansa maksājuma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finansējuma saņēmējs nevar izlietot avansa maksājumu šajos noteikumos minētajā termiņā, tas civiltiesiskajā līgumā vai vienošanās par projekta īstenošanu noteiktajā termiņā informē aģentūru.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Aģentūra izvērtē avansa maksājuma atmaksāšanas lietderību, ņemot vērā finansējuma saņēmēja plānotās projekta darbības, piešķirtā avansa maksājuma neizmantošanas iemeslus, projekta riskus, starpposma maksājuma apmēru un atbilstību naudas plūsmai un nākamo avansa maksājuma termiņu, un lemj par finansējuma saņēmēja neizmantotā avansa maksājuma atmaksāšanu.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aģentūra pieņem lēmumu par finansējuma saņēmēja neizmantotā avansa maksājuma atmaksāšanu (lēmumā nosaka neizmantotā avansa maksājuma atmaksāšanas termiņu) vai finansējuma saņēmējs vēlas to labprātīgi atmaksāt, finansējuma saņēmējs atmaksā neizmantoto avansa maksājumu aģentūras norādītajā kontā Valsts kasē. Aģentūra piecu darbdienu laikā pēc atmaksātā avansa saņemšanas iesniedz Valsts kasē maksājuma rīkojumu par neizmantotā avansa maksājuma pārskaitīšanu valsts budžeta ieņēmumos un informē Finanšu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Maksājuma pieprasījumu un izdevumus pamatojošo informāciju, kā arī sasniegto mērķu pamatojošos dokumentus finansējuma saņēmējs divas reizes gadā iesniedz vadības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atbilstoši civiltiesiskajā līgumā vai vienošanās par projekta īstenošanu noteiktajiem nosacījumiem un termiņiem,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atbilstošu un savlaicīgu mērķu sasniegšanu, datu ticamību un izsekojamību, kā arī, ja nepieciešams, nodrošina piekļuvi ar projekta īstenošanu saistītajai informācijai un spēj to uzrādīt Atveseļošanas fonda plāna investīciju ieviešanas uzraudzībā iesaistītajām iestādēm, tostarp 2021. gada 3. septembra Komisijas un Latvijas Republikas Atveseļošanas fonda finansēšanas nolīgumā minētajām iestādēm, tai skaitā lai pārliecinātos, ka nav konstatējamas pazīmes par pieļautu interešu konflikta, korupcijas un krāpšanas, un dubultā finansējuma situāciju projekta īstenošanā;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ievada informāciju vadības informācijas sistēmā maksājuma pieprasījuma un Atveseļošanas fonda plāna ieviešanas progresa pusgada ziņojuma sagatavošanai saskaņā ar regulas Nr. </w:t>
      </w:r>
      <w:r w:rsidR="00000000" w:rsidRPr="00000000" w:rsidDel="00000000">
        <w:rPr>
          <w:rtl w:val="0"/>
        </w:rPr>
        <w:t xml:space="preserve">2021/241</w:t>
      </w:r>
      <w:r w:rsidR="00000000" w:rsidRPr="00000000" w:rsidDel="00000000">
        <w:rPr>
          <w:rtl w:val="0"/>
        </w:rPr>
        <w:t xml:space="preserve"> 22. un 27. pantu un normatīvajiem aktiem par Eiropas Savienības Atveseļošanas fonda plāna īstenošanu un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Komisijas un Latvijas Republikas Atveseļošanas fonda finansēšanas nolīguma 10.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izstrādā vai pilnveido Atveseļošanas fonda plāna īstenošanas nodrošināšanai nepieciešamos iekšējos tiesību aktus.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Projektus īsteno saskaņā ar noslēgto civiltiesisko līgumu vai vienošanos par projekta īstenošanu, bet ne ilgāk kā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Vienu un to  pašu M2 vai M3 kategorijas bezemisiju transportlīdzekļu iegādei un, ja attiecināms, to darbības nodrošināšanai nepieciešamās uzlādes infrastruktūras izveidei paredzētās darbības neiekļauj vairākos šīs investīcijas ietvaros iesniegtajos projektos.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pašvaldības kapitālsabiedrība, kas pilda pašvaldības deleģētos pārvaldes uzdevumus, nodarbojas ar saimniecisko darbību, tā nodala pašvaldības deleģētos pārvaldes uzdevumus no citiem darbības veidiem atbilstoši normatīvajiem aktiem grāmatvedības kārtošanas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(M2 vai M3 kategorijas bezemisiju transportlīdzekļa un tā darbības nodrošināšanai nepieciešamās uzlādes infrastruktūras amortizācijas periodā) kļūst par projektu, kas saistīts ar saimniecisko darbību, kurai sniegtais atbalsts būtu kvalificējams kā komercdarbības atbalsts, finansējuma saņēmējs no finansējuma, kura avots nav publiskie līdzekļi, atmaksā aģentūrai visu nelikumīgi saņemto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tiek konstatēts, ka ir pārsniegti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minētie 20 procenti no M2 vai M3 kategorijas bezemisiju transportlīdzekļa un tā darbības nodrošināšanai nepieciešamās uzlādes infrastruktūras gada jaudas laika izteiksmē, finansējuma saņēmējam proporcionāli tai gada jaudas daļai laika izteiksmē, par kuru kopumā ir konstatēts pārkāpums, ir pienākums atmaksāt aģentūrai visu projekta ietvaros saņemto nelikumīgo komercdarbības atbalstu kopā ar procentiem par attiecīgo gadu, kurā pārsniegti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minētie 20 procenti no M2 vai M3 kategorijas bezemisiju transportlīdzekļa un izveidotās ar to saistītās  bezemisiju transportlīdzekļa uzlādes punkta gada jaudas laika izteiksmē saskaņā ar </w:t>
      </w:r>
      <w:r w:rsidR="00000000" w:rsidRPr="00000000" w:rsidDel="00000000">
        <w:rPr>
          <w:rtl w:val="0"/>
        </w:rPr>
        <w:t xml:space="preserve">Komercdarbības atbalsta kontroles likuma</w:t>
      </w:r>
      <w:r w:rsidR="00000000" w:rsidRPr="00000000" w:rsidDel="00000000">
        <w:rPr>
          <w:rtl w:val="0"/>
        </w:rPr>
        <w:t xml:space="preserve"> IV un V 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nodrošina veikto investīciju atbilstības uzraudzību visā projekta dzīves ciklā atbilstoši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punktam</w:t>
      </w:r>
      <w:r w:rsidR="00000000" w:rsidRPr="00000000" w:rsidDel="00000000">
        <w:rPr>
          <w:rtl w:val="0"/>
        </w:rPr>
        <w:t xml:space="preserve">. Viedās administrācijas un reģionālās attīstības ministrija izstrādā metodiskos norādījumus par papildinošas saimnieciskās darbības uzraudzību.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visā projekta dzīves ciklā sagatavo ikgadējus pārskatus par papildinošas saimnieciskās darbības apjomu un nodrošina šajā punktā minēto pārskatu un aprēķinus pamatojošo dokumentu pieejamību papildinošas saimnieciskās darbības uzraudzībai. Ja finansējuma saņēmējs konstatē, ka ir pārsniegti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minētie 20 procenti no M2 vai M3 kategorijas bezemisiju transportlīdzekļa un tā darbības nodrošināšanai nepieciešamās uzlādes infrastruktūras gada jaudas laika izteiksmē, tas civiltiesiskajā līgumā vai vienošanās par projekta īstenošanu noteiktajā termiņā iesniedz aģentūrā ziņojumu par konstatēto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nosacījumu pārkāpumu.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 izvērtējot finansējuma saņēmēja sniegto un aģentūras rīcībā esošo informāciju un konstatējot pārkāpumus, pieņem lēmumu par Atveseļošanas fonda finansējuma maksājumu apturēšanu vai atgūšanu no finansējuma saņēmēja saskaņā ar civiltiesiskajā līgumā vai vienošanās par projekta īstenošanu noteikto kārtību vai veic finansējuma atgūšanu, ievērojot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punkta</w:t>
      </w:r>
      <w:r w:rsidR="00000000" w:rsidRPr="00000000" w:rsidDel="00000000">
        <w:rPr>
          <w:rtl w:val="0"/>
        </w:rPr>
        <w:t xml:space="preserve"> nosacījumus,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būtiskus pārkāpumus projekta īstenošanas un uzraudzības laikā, tai skaitā šo noteikumu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minētos pārkāpumus, vai nav veikta bezemisiju transportlīdzekļa reģistrācija saskaņā ar normatīvajiem aktiem par transportlīdzekļu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nav apliecinājis, ka projekta īstenošanas rezultātā tas pārtrauks ekspluatēt vismaz vienu ar fosilās izcelsmes degvielu darbināmu M2 vai M3 kategorijas transportlīdzekli, kas atbilst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minētajām prasībām, un nav iesniedzis aģentūrai atbilstošu dokumentāciju par tā utilizāciju atbilstoši normatīvajiem aktiem par nolietotu transportlīdzekļu apsaimniekošanu;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 ka aģentūrai nav iesniegts  pirkuma līgums, pieņemšanas un nodošanas akts vai cits pirkumu un piegādi apliecinošs dokuments, nav nodrošināta projekta mērķu sasniegšana un projekta īstenošanas rezultātā nav iegādāts M2 vai M3 bezemisiju transportlīdzeklis, kā arī nav izveidota tā darbības nodrošināšanai atbilstoša uzlādes infrastruktūra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bezemisiju transportlīdzeklis netiek izmantots atbilstoši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minētajam mērķim</w:t>
      </w:r>
      <w:r w:rsidR="00000000" w:rsidRPr="00000000" w:rsidDel="00000000">
        <w:rPr>
          <w:sz w:val="20"/>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glabā projekta dokumentāciju un nodrošina pieejamību dokumentācijai visā projekta dzīves ciklā (M2 vai M3 kategorijas bezemisiju transportlīdzekļa un tā darbības nodrošināšanai izveidotās uzlādes infrastruktūras amortizācijas periodā).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Aģentūrai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civiltiesiskā līguma vai vienošanās par projekta īstenošanu nosacījumus, tai skaitā ja bezemisiju transportlīdzeklis netiek izmantots atbilstoši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minētajam mērķim, ja netiek ievēroti projektā noteiktie termiņi vai ir iestājušies citi apstākļi, kas negatīvi ietekmē vai var ietekmēt investīcijas un tai noteikto mērķu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investīcijas ietvaros apvieno piešķirto finansējumu attiecībā uz tām pašām attiecināmajām izmaksām ar citu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Īstenojot projektu, finansējuma saņēmējs vadības informācijas sistēmā uzkrāj datus un sniedz informāciju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gadus tā īpašumā esošiem M2 vai M3 kategorijas transportlīdzekļiem, kuri ir tehniskā kārtībā un kuri darbināmi ar fosilās izcelsmes degvielu, un kurus finansējuma saņēmējs beigs ekspluatēt pēc M2 vai M3 kategorijas bezemisiju transportlīdzekļa iegādes, norādot vienību skaitu, to pirmreizējās reģistrācijas gadu, kategoriju, motora izmešu līmeni, sēdvietu skaitu un vidējo nobraukumu kilometros triju gadu periodā (no 2017. gada līdz 2019. gadam);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ietekmi uz SEG emisiju samazinājumu, pamatojot, kā bezemisiju transportlīdzekļu izmantošana veicinās SEG emisiju samazināšanu, un norādot SEG emisiju samazinājuma 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iegādāto M2 vai M3 kategorijas bezemisiju transportlīdzekļu vienību un uzlādes punktu (ja attiecināms) skaitu.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Īstenojot projektu, finansējuma saņēmējs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projekta ietvaros iegādātie M2 vai M3 kategorijas bezemisiju transportlīdzekļi  un, ja attiecināms, to darbības nodrošināšanai paredzētā uzlādes infrastruktūra tiks izmantota atbilstoši šo noteikumu </w:t>
      </w:r>
      <w:r w:rsidR="00000000" w:rsidRPr="00000000" w:rsidDel="00000000">
        <w:rPr>
          <w:rtl w:val="0"/>
        </w:rPr>
        <w:t xml:space="preserve">6.</w:t>
      </w:r>
      <w:r w:rsidR="00000000" w:rsidRPr="00000000" w:rsidDel="00000000">
        <w:rPr>
          <w:rtl w:val="0"/>
        </w:rPr>
        <w:t xml:space="preserve"> punktam</w:t>
      </w:r>
      <w:r w:rsidR="00000000" w:rsidRPr="00000000" w:rsidDel="00000000">
        <w:rPr>
          <w:rtl w:val="0"/>
        </w:rPr>
        <w:t xml:space="preserve">, nodrošinot bezmaksas transporta pakalpojumu izglītojamo nokļūšanai izglītības iestādē vai citā mācību īstenošanas vietā un atpakaļ dzīvesvietā;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sasniegto rezultātu ilgtspēju un uzturēšanu, tai skaitā mērķa uzturēšanai nepieciešamos līdzekļus, visā projekta dzīves ciklā pēc noslēguma maksājuma veikšanas, tai skaitā nodrošinot transportlīdzekļa īpašnieka civiltiesiskās atbildības obligāto apdrošināšanu, brīvprātīgo sauszemes transportlīdzekļu apdrošināšanu un monitoringa sistēmu vai globālās pozicionēšanas sistēmas darbību;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plūsmas (tai skaitā pievienotās vērtības nodokļa izmaksu uzskaiti) uzskatāmu nodalīšanu no citām finansējuma saņēmēja darbības finanšu plūsmām projekta īstenošanas laikā un visā projekta dzīves ciklā.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24-TA-1979</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24-TA-1979</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noteikumu_konsolidētā_versija_24-TA-1979.docx</dc:title>
</cp:coreProperties>
</file>

<file path=docProps/custom.xml><?xml version="1.0" encoding="utf-8"?>
<Properties xmlns="http://schemas.openxmlformats.org/officeDocument/2006/custom-properties" xmlns:vt="http://schemas.openxmlformats.org/officeDocument/2006/docPropsVTypes"/>
</file>