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“Valsts autoceļu attīstības stratēģiju līdz 2040.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informatīvajā ziņojumā paredzēto turpmāko rīcību attiecībā uz prioritātēm valsts galveno, reģionālo un vietējo autoceļu attīstībai, kā arī darbības vietējās sasniedzamības nodrošināšanai Satiksmes ministrijas esošo valsts budžeta līdzekļu ietvaros vai piesaistot papildu ES fondu un citu ārvalstu finanšu palīdzības finansējumu.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deviņu mēnešu laikā sagatavot un iesniegt Eiropas Komisijā lūgumu piešķirt atbrīvojumus no </w:t>
      </w:r>
      <w:r w:rsidR="00000000" w:rsidRPr="00000000" w:rsidDel="00000000">
        <w:rPr>
          <w:rtl w:val="0"/>
        </w:rPr>
        <w:t xml:space="preserve">Eiropas Parlamenta un Padomes 2024. gada 13. jūnija Regulas (ES) 2024/1679 par Savienības pamatnostādnēm Eiropas transporta tīkla attīstībai un ar ko groza Regulas (ES) 2021/1153 un (ES) Nr. 913/2010 un atceļ Regulu (ES) Nr. 1315/2013 31. panta 2., 3. un 4. punkta</w:t>
      </w:r>
      <w:r w:rsidR="00000000" w:rsidRPr="00000000" w:rsidDel="00000000">
        <w:rPr>
          <w:rtl w:val="0"/>
        </w:rPr>
        <w:t xml:space="preserve"> prasību izpildes saskaņā ar iepriekš minētās regulas 31. panta 6. punktā noteikto.</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25-TA-1223</w:t>
    </w:r>
    <w:r>
      <w:br/>
    </w:r>
    <w:r w:rsidR="00000000" w:rsidRPr="00000000" w:rsidDel="00000000">
      <w:rPr>
        <w:rtl w:val="0"/>
      </w:rPr>
      <w:t xml:space="preserve">Izdrukāts 29.07.2026. 22.30 - 4.0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mk_sēdes_protokollēmuma_projekts_25-TA-1223.docx</dc:title>
</cp:coreProperties>
</file>

<file path=docProps/custom.xml><?xml version="1.0" encoding="utf-8"?>
<Properties xmlns="http://schemas.openxmlformats.org/officeDocument/2006/custom-properties" xmlns:vt="http://schemas.openxmlformats.org/officeDocument/2006/docPropsVTypes"/>
</file>