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before="240" w:beforeAutospacing="0"/>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Ministru kabineta noteikumi Nr. 375</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Rīgā 2025. gada 25. jūnijā (prot. Nr. 25 8. §)</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Grozījumi Ministru kabineta 2025. gada 7. janvāra noteikumos Nr. 24 "Noteikumi par produktivitātes aizdevumiem uzņēmumu inovācijām"</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Eiropas Savienības fondu 2021.–2027. gada plānošanas perioda vadības likuma 19. panta</w:t>
      </w:r>
      <w:r w:rsidR="00000000" w:rsidRPr="00000000" w:rsidDel="00000000">
        <w:rPr>
          <w:rStyle w:val="paragraph"/>
          <w:i w:val="1"/>
          <w:rtl w:val="0"/>
        </w:rPr>
        <w:t xml:space="preserve"> 14. punktu un </w:t>
      </w:r>
      <w:r w:rsidR="00000000" w:rsidRPr="00000000" w:rsidDel="00000000">
        <w:rPr>
          <w:rStyle w:val="paragraph"/>
          <w:i w:val="1"/>
          <w:rtl w:val="0"/>
        </w:rPr>
        <w:t xml:space="preserve">Attīstības finanšu institūcijas likuma 12. panta</w:t>
      </w:r>
      <w:r w:rsidR="00000000" w:rsidRPr="00000000" w:rsidDel="00000000">
        <w:rPr>
          <w:rStyle w:val="paragraph"/>
          <w:i w:val="1"/>
          <w:rtl w:val="0"/>
        </w:rPr>
        <w:t xml:space="preserve"> ceturto daļu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Izdarīt Ministru kabineta 2025. gada 7. janvāra noteikumos Nr. 24 "Noteikumi par produktivitātes aizdevumiem uzņēmumu inovācijām" (Latvijas Vēstnesis, 2025, 8. nr.) šādus grozījumus: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Izteikt 1.1.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"1.1. kārtību, kādā īsteno Eiropas Savienības kohēzijas politikas programmas 2021.–2027. gadam 1.2.1. specifiskā atbalsta mērķa "Pētniecības un inovāciju kapacitātes stiprināšana un progresīvu tehnoloģiju ieviešana uzņēmumiem" 1.2.1.2. pasākumu "Produktivitātes aizdevumi uzņēmumu inovācijām" (turpmāk – pasākums);".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Izteikt 2.1.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"2.1. atzinums – Latvijas Zinātnes padomes (ja plānots izstrādāt inovatīvu produktu) vai Aizsardzības ministrijas (ja plānots izstrādāt divējāda lietojuma inovatīvu produktu) sagatavots dokuments, kas apliecina, ka projekta pieteikumā minētais produkts atbilst inovatīvam produktam vai divējāda lietojuma inovatīvam produktam;".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Izteikt 2.11.3.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"2.11.3. ja tas pretendē uz atbalstu saskaņā ar Komisijas regulu Nr. 651/2014, tas nav uzskatāms par grūtībās nonākušu komersantu saskaņā ar Komisijas regulas Nr. 651/2014 2. panta 18. punktu (vērtējot saistības grupas līmenī) un ir iesniedzis apliecinājumu, ka tam nav pasludināts projekta iesniedzēja maksātnespējas process, nav ierosināta tiesiskās aizsardzības procesa lieta, netiek īstenots tiesiskās aizsardzības process, nav apturēta vai pārtraukta projekta iesniedzēja saimnieciskā darbība vai projekta iesniedzējs netiek likvidēts;".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Izteikt 2.11.4.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"2.11.4. tas ievēro šo noteikumu VI nodaļā minētos ierobežojumus par neatbalstāmajām projekta nozarēm un darbībām;".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Izteikt 2.11.5.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"2.11.5. ja tas pretendē uz atbalstu saskaņā ar Komisijas regulu Nr. 651/2014, uz to (vērtējot saistības grupas līmenī) neattiecas neizpildīts līdzekļu atgūšanas rīkojums saskaņā ar iepriekšēju Komisijas lēmumu, ar ko atbalsts, kuru piešķīrusi tā pati dalībvalsts, atzīts par nelikumīgu un nesaderīgu ar kopējo tirgu, atbilstoši Komisijas regulas Nr. 651/2014 1. panta 4. punkta "a" un "b" apakšpunktam;".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Papildināt ar 2.11.7.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"2.11.7. tas nesadarbojas ar Krievijas Federāciju vai Baltkrievijas Republiku;".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Svītrot 2.12. apakšpunktu.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Izteikt 3.3.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"3.3. citu ražotāju preču vai procesu tālākpārdošanu;".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Izteikt 4.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 Pasākuma mērķis ir nodrošināt finansējuma pieejamību gala saņēmēju attīstībai Latvijā, sniedzot atbalstu inovatīvu (tai skaitā divējāda lietojuma) produktu izstrādei, stimulējot privātā sektora ieguldījumus pētniecībā, attīstībā un inovācijās, kas ietver atbalstu jaunu ēku (tai skaitā ražošanas ēku) izbūvei, iekārtu iegādei un ražošanas pieslēgumu izveidei, kā arī jaunu darba vietu radīšanu viedās specializācijas stratēģijas (RIS3) jomās."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Izteikt 5.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 Pasākumam pieejamais un plānotais kopējais Eiropas Reģionālās attīstības fonda un valsts budžeta finansējums un pasākuma ietvaros sasniedzamie rādītāji līdz 2029. gada 31. decembrim ir noteikti saskaņā ar normatīvo aktu, kas nosaka Eiropas Savienības kohēzijas politikas programmas 2021.–2027. gadam ietvaros izmantojamo finanšu instrumentu īstenošanas kārtību, pieejamo finansējumu, atbalstāmās darbības un attiecināmās izmaksas.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Svītrot 6. 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Svītrot 7. 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Izteikt 8.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"8. Lai nodrošinātu finansējumu sabiedrības "Altum" aizdevuma, aizdevuma ar kapitāla atlaidi vai paralēlā aizdevuma ar kapitāla atlaidi (daļā, kas pārsniedz pieejamo kapitāla atlaides apmēru) piešķiršanai, sabiedrība "Altum" var piesaistīt valsts aizdevumu kredītlīnijas veidā vai piesaistīt finansējumu tirgū (tai skaitā aizņemoties finansējumu no starptautiskajām finanšu institūcijām) ne vairāk kā 65 000 000 </w:t>
      </w:r>
      <w:r w:rsidR="00000000" w:rsidRPr="00000000" w:rsidDel="00000000">
        <w:rPr>
          <w:i w:val="1"/>
          <w:rtl w:val="0"/>
        </w:rPr>
        <w:t xml:space="preserve">euro </w:t>
      </w:r>
      <w:r w:rsidR="00000000" w:rsidRPr="00000000" w:rsidDel="00000000">
        <w:rPr>
          <w:rtl w:val="0"/>
        </w:rPr>
        <w:t xml:space="preserve">apmērā. Valsts aizdevuma atmaksas termiņš ir līdz 2049. gada 31. decembrim. Kapitāla atlaidi sedz no pasākumā piešķirtā publiskā finansējuma. Valsts aizdevumam nepiemēro riska likmi, un to nodrošina ar komercķīlu, sabiedrībai "Altum" ieķīlājot prasījuma tiesības un to nākamās sastāvdaļas kā lietu kopību, kas izrietēs no sabiedrības "Altum" izsniegtajiem aizdevumiem."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Izteikt II nodaļas nosaukumu šādā redakcijā:</w:t>
      </w:r>
    </w:p>
    <w:p w:rsidP="00000000" w:rsidRDefault="00000000" w:rsidR="00000000" w:rsidRPr="00000000" w:rsidDel="00000000">
      <w:pPr>
        <w:numPr>
          <w:ilvl w:val="2"/>
          <w:numId w:val="1"/>
        </w:numPr>
        <w:ind w:left="0" w:hanging="0"/>
        <w:jc w:val="center"/>
        <w:contextualSpacing w:val="0"/>
        <w:spacing w:before="0"/>
        <w:rPr>
          <w:u w:val="none"/>
        </w:rPr>
      </w:pPr>
      <w:r w:rsidR="00000000" w:rsidRPr="00000000" w:rsidDel="00000000">
        <w:rPr>
          <w:b w:val="1"/>
          <w:rtl w:val="0"/>
        </w:rPr>
        <w:t xml:space="preserve"/>
      </w:r>
      <w:r w:rsidR="00000000" w:rsidRPr="00000000" w:rsidDel="00000000">
        <w:rPr>
          <w:b w:val="1"/>
          <w:rtl w:val="0"/>
        </w:rPr>
        <w:t xml:space="preserve">"II. Atbalsta piešķiršanas nosacījumi inovatīvu produktu izstrādei".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Papildināt ar 12.2.3.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"12.2.3. paralēlā aizdevuma procentu likmi pielīdzina cita finansētāja kredīta likmei. Ja mainīgās likmes noteikšanas, pārskatīšanas vai grozīšanas brīdī Eiropas starpbanku piedāvātā likme ir negatīva, tad Eiropas starpbanku piedāvātajai likmei tiek piemērota nulles vērtība. Sabiedrība "Altum" var piemērot augstāku gada procentu likmes fiksētās daļas likmi nekā cita finansētāja aizdevumam vai finanšu līzingam pievienotās gada procentu likmes fiksētās daļas likmi, lai ievērotu šo noteikumu 27. un 28. punktā noteikto maksimāli pieļaujamo atbalsta intensitāti, ja atbalstu piešķir kā reģionālo atbalstu saskaņā ar Komisijas regulas Nr. 651/2014 14. pantu, vai šo noteikumu 30.4. apakšpunktā minēto apmēru, ja atbalstu piešķir kā </w:t>
      </w:r>
      <w:r w:rsidR="00000000" w:rsidRPr="00000000" w:rsidDel="00000000">
        <w:rPr>
          <w:i w:val="1"/>
          <w:rtl w:val="0"/>
        </w:rPr>
        <w:t xml:space="preserve">de minimis</w:t>
      </w:r>
      <w:r w:rsidR="00000000" w:rsidRPr="00000000" w:rsidDel="00000000">
        <w:rPr>
          <w:rtl w:val="0"/>
        </w:rPr>
        <w:t xml:space="preserve"> atbalstu saskaņā ar Komisijas regulu Nr. 2023/2831."</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Izteikt 13.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"13. Atbalstu sniedz gala saņēmējiem, kuru projekti saskaņā ar šo noteikumu 2.8. apakšpunktā minētajiem nosacījumiem paredzēti inovatīvu produktu izstrādei vai divējāda lietojuma inovatīvu produktu izstrādei drošības un aizsardzības jomā."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Izteikt 14.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"14. Sabiedrība "Altum" sagatavo un tīmekļvietnē www.altum.lv publicē paziņojumu par projektu pieteikumu saņemšanas uzsākšanu. Pirmās 40 darbdienas no dienas, kad uzsākta projektu pieteikumu saņemšana, sabiedrība "Altum" pieņem tikai tādus projektu pieteikumus, kuros paredzēta divējāda lietojuma inovatīvu produktu izstrāde drošības un aizsardzības jomā. Pēc 40 darbdienām sabiedrība "Altum" pieņem arī pārējos projektu pieteikumus."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Svītrot 15. 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Izteikt 16.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"16. Lai nodrošinātu inovatīva produkta un divējāda lietojuma inovatīva produkta vērtēšanu, Latvijas Zinātnes padome un Aizsardzības ministrija izmanto inovatīvu produktu un divējāda lietojuma inovatīvu produktu vērtēšanas metodiku, kuru izstrādājusi Ekonomikas ministrija sadarbībā ar Latvijas Zinātnes padomi un Aizsardzības ministriju."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Izteikt 17.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"17. Gala saņēmējs, iesniedzot projekta pieteikumu sabiedrībā "Altum" atbalsta saņemšanai divējāda lietojuma inovatīva produkta izstrādei drošības un aizsardzības jomā, iesniedz arī Aizsardzības ministrijas atzinumu par pieteiktā produkta atbilstību divējāda lietojuma inovatīvam produktam drošības un aizsardzības jomā. Lai nodrošinātu piešķirtā atbalsta atbilstību šiem noteikumiem, sabiedrībai "Altum" ir tiesības datus par gala saņēmēju un projektu nodot Aizsardzības ministrijai, savukārt Aizsardzības ministrijai ir tiesības datus par gala saņēmēju un projektu nodot sabiedrībai "Altum"."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Izteikt 18.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"18. Aizsardzības ministrija 20 darbdienu laikā pēc gala saņēmēja iesnieguma saņemšanas izsniedz šo noteikumu 17. punktā minēto atzinumu. Aizsardzības ministrija var pagarināt atzinuma izsniegšanas termiņu par 10 darbdienām."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Izteikt 19.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"19. Gala saņēmējs, iesniedzot projekta pieteikumu sabiedrībā "Altum" atbalsta saņemšanai inovatīva produkta izstrādei, iesniedz arī Latvijas Zinātnes padomes atzinumu par pieteiktā produkta atbilstību inovatīvam  produktam. Lai nodrošinātu piešķirtā atbalsta atbilstību šiem noteikumiem, sabiedrībai "Altum" ir tiesības datus par komersantu un projektu nodot Latvijas Zinātnes padomei, savukārt Latvijas Zinātnes padomei ir tiesības datus par komersantu un projektu nodot sabiedrībai "Altum"."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Izteikt 20.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"20. Latvijas Zinātnes padome 30 darbdienu laikā pēc gala saņēmēja iesnieguma saņemšanas izsniedz šo noteikumu 19. punktā minēto atzinumu.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Papildināt ar 20.</w:t>
      </w:r>
      <w:r w:rsidR="00000000" w:rsidRPr="00000000" w:rsidDel="00000000">
        <w:rPr>
          <w:vertAlign w:val="superscript"/>
          <w:rtl w:val="0"/>
        </w:rPr>
        <w:t xml:space="preserve">1</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vertAlign w:val="superscript"/>
          <w:rtl w:val="0"/>
        </w:rPr>
        <w:t xml:space="preserve">1</w:t>
      </w:r>
      <w:r w:rsidR="00000000" w:rsidRPr="00000000" w:rsidDel="00000000">
        <w:rPr>
          <w:rtl w:val="0"/>
        </w:rPr>
        <w:t xml:space="preserve"> Lai nodrošinātu atzinuma sniegšanu un piešķirtā atbalsta atbilstību šiem noteikumiem, Aizsardzības ministrija, Latvijas Zinātnes padome, sabiedrība "Altum" un Ekonomikas ministrija slēdz vienošanos."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Izteikt 23.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"23. Ja atbalstu sniedz saskaņā ar šo noteikumu 21. punktu, ievēro šādus nosacījumus: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23.1. projekta attiecināmās izmaksas ir sākotnējie ieguldījumi saskaņā ar Komisijas regulas Nr. 651/2014 2. panta 49. punkta "a" apakšpunktu: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23.2. aktīvi (tai skaitā ēkas un būves) ir jauni;</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23.3. ar materiālo aktīvu nomu saistītās izmaksas ir attiecināmas, ja ir ievēroti Komisijas regulas Nr. 651/2014 14. panta 5. un 6. punktā minētie nosacījumi un attiecībā uz zemi, ēkām un ražotni ar nomu un apbūvi saistītās tiesības ir nostiprinātas zemesgrāmatā (ja attiecināms) un noma un apbūves tiesības mazajiem vidējas kapitalizācijas komersantiem un vidējas kapitalizācijas komersantiem ilgst vismaz piecus gadus vai vidējiem komersantiem vismaz trīs gadus pēc paredzētās investīciju projekta pabeigšanas dienas un ir spēkā visā aizdevuma līguma darbības laikā;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23.4. sākotnējie ieguldījumi būvniecībā vai nekustamā īpašuma iegādē ir attiecināmi tikai kompleksam investīciju projektam, kurā paredzēta arī iekārtu iegāde, ievērojot attiecināmo investīciju izmaksu proporciju līdz 40 procentiem būvniecībai un nekustamā īpašuma iegādei;</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23.5. nemateriālie aktīvi atbilst Komisijas regulas Nr. 651/2014 14. panta 8. punktā minētajiem nosacījumiem. Mazajiem vidējas kapitalizācijas gala saņēmējiem vai vidējas kapitalizācijas gala saņēmējiem nemateriālos aktīvus var finansēt līdz 50 procentiem no sākotnējo ieguldījumu kopējām attiecināmajām ieguldījumu izmaksām. Sīkajiem (mikro), mazajiem vai vidējiem komersantiem nemateriālos aktīvus var finansēt 100 procentu apmērā no sākotnējo ieguldījumu kopējām attiecināmajām ieguldījumu izmaksām."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Izteikt 24.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"24. Sākotnējie ieguldījumi pēc projekta pabeigšanas paliek Latvijā attiecīgajā atbalsta intensitātes kopējās statistiski teritoriālo vienību klasifikācijas (turpmāk – NUTS) 3. līmeņa reģionā (atbilstoši 2021. gada datiem), kurā tiek īstenots atbalstāmais projekts, vai paliek Latvijā jebkurā reģionā vismaz trīs gadus (sīkajiem (mikro), mazajiem vai vidējiem komersantiem) vai vismaz piecus gadus (mazajiem vidējas kapitalizācijas komersantiem vai vidējas kapitalizācijas komersantiem) atbilstoši Komisijas regulas Nr. 651/2014 14. panta 5. punkta nosacījumiem, ja atbalsts tiek piešķirts saskaņā ar šo noteikumu 27.2. apakšpunktu."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Izteikt 30.6.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"30.6. atbalstu nepiešķir, ja gala saņēmējs atbilst normatīvajos aktos maksātnespējas jomā noteiktajiem kritērijiem, uz kuriem pamatojoties kreditors vai parādnieks var pieprasīt maksātnespējas procesu, vai ja mazā vidējas kapitalizācijas komersanta vai vidējas kapitalizācijas komersanta kredītreitings ir zemāks par "B–" atbilstoši šo noteikumu  pielikumam;".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Papildināt ar 30.7.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"30.7. atbalstāmi ir ieguldījumi jaunu aktīvu iegādē, ar investīciju projektu saistīto darbinieku atalgojuma izmaksas un ar nemateriālo aktīvu nomu saistītās izmaksas;".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Papildināt ar 30.8.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"30.8. zemes, ēku un ražotnes nomas un apbūves tiesības ir nostiprinātas zemesgrāmatā (ja attiecināms);".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Papildināt ar 30.9.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"30.9. ieguldījumi būvniecībā vai nekustamā īpašuma iegādē ir attiecināmi tikai kompleksam investīciju projektam, kurā paredzēta arī iekārtu iegāde, ievērojot attiecināmo investīciju izmaksu proporciju līdz 40 procentiem būvniecībai un nekustamā īpašuma iegādei."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Izteikt 31.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"31. Sabiedrības "Altum" piešķirtā maksimālā kapitāla atlaide ir līdz 30 procentiem no sabiedrības "Altum" piešķirtā aizdevuma ar kapitāla atlaidi apmēra vai sabiedrības "Altum" paralēlā aizdevuma ar kapitāla atlaidi apmēra, bet ne vairāk kā 1 500 000 </w:t>
      </w:r>
      <w:r w:rsidR="00000000" w:rsidRPr="00000000" w:rsidDel="00000000">
        <w:rPr>
          <w:i w:val="1"/>
          <w:rtl w:val="0"/>
        </w:rPr>
        <w:t xml:space="preserve">euro</w:t>
      </w:r>
      <w:r w:rsidR="00000000" w:rsidRPr="00000000" w:rsidDel="00000000">
        <w:rPr>
          <w:rtl w:val="0"/>
        </w:rPr>
        <w:t xml:space="preserve">, nepārsniedzot šajos noteikumos norādīto pieļaujamo atbalsta intensitāti vai komersantam pieejamo </w:t>
      </w:r>
      <w:r w:rsidR="00000000" w:rsidRPr="00000000" w:rsidDel="00000000">
        <w:rPr>
          <w:i w:val="1"/>
          <w:rtl w:val="0"/>
        </w:rPr>
        <w:t xml:space="preserve">de minimis</w:t>
      </w:r>
      <w:r w:rsidR="00000000" w:rsidRPr="00000000" w:rsidDel="00000000">
        <w:rPr>
          <w:rtl w:val="0"/>
        </w:rPr>
        <w:t xml:space="preserve"> limita apmēru."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Izteikt 32.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"32. Uz sabiedrības "Altum" aizdevumu ar kapitāla atlaidi vai paralēlo aizdevumu ar kapitāla atlaidi var pretendēt gala saņēmēji, kuri pēc projekta pabeigšanas katra pēcuzraudzības gada beigās ir sasnieguši visus šādus rādītājus: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32.1. gala saņēmēja ieguldījumu apjoms pētniecībā un attīstībā Latvijā gala saņēmēja līmenī ir vismaz 50 000 </w:t>
      </w:r>
      <w:r w:rsidR="00000000" w:rsidRPr="00000000" w:rsidDel="00000000">
        <w:rPr>
          <w:i w:val="1"/>
          <w:rtl w:val="0"/>
        </w:rPr>
        <w:t xml:space="preserve">euro </w:t>
      </w:r>
      <w:r w:rsidR="00000000" w:rsidRPr="00000000" w:rsidDel="00000000">
        <w:rPr>
          <w:rtl w:val="0"/>
        </w:rPr>
        <w:t xml:space="preserve">gadā;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32.2. gala saņēmēja apgrozījuma apmērs salīdzinājumā ar apgrozījuma apmēru gadā, kad tika pabeigts investīciju projekts, ir vismaz divas reizes lielāks nekā investīciju projekta attiecināmo izmaksu apmērs;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32.3. uz katriem kopējās pieejamās kapitāla atlaides 250 000 </w:t>
      </w:r>
      <w:r w:rsidR="00000000" w:rsidRPr="00000000" w:rsidDel="00000000">
        <w:rPr>
          <w:i w:val="1"/>
          <w:rtl w:val="0"/>
        </w:rPr>
        <w:t xml:space="preserve">euro </w:t>
      </w:r>
      <w:r w:rsidR="00000000" w:rsidRPr="00000000" w:rsidDel="00000000">
        <w:rPr>
          <w:rtl w:val="0"/>
        </w:rPr>
        <w:t xml:space="preserve">ir radīta vismaz viena jauna darba vieta ar pilnu darba slodzi vai saglabāta esoša darba vieta ar pilnu darba slodzi un ar darba samaksas pieaugumu, un kopā ir radītas vismaz divas jaunas darba vietas ar pilnu darba slodzi vai saglabātas esošas darba vietas ar pilnu darba slodzi un ar darba samaksas pieaugumu;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32.4. izveidotās darba vietas tiek saglabātas vismaz divus gadus pēc to izveidošanas, un šajā laikā tiek nodrošināts, ka mēneša vidējā bruto darba samaksa darbiniekiem, kas pieņemti darbā investīciju projekta īstenošanas rezultātā, nav mazāka par mēneša vidējās bruto darba samaksas apmēru tautsaimniecībā iepriekšējā gadā, kam piemērots koeficients 1,6. Ja projekta īstenošanas rezultātā netiek izveidotas jaunas darba vietas, bet tiek saglabātas esošās, mēneša vidējā bruto darba samaksa darbiniekiem, kam saglabātas darba vietas, nav mazāka par mēneša vidējās bruto darba samaksas apmēru tautsaimniecībā iepriekšējā gadā, kam piemērots koeficients 1,6, papildus nodrošinot bruto darba samaksas pieaugumu vismaz 30 % apmērā."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Izteikt 33.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"33. Ekonomikas ministrija sadarbībā ar sabiedrību "Altum" izstrādā pēcuzraudzības metodiku un publicē to savā tīmekļvietnē."</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Izteikt 35.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"35. Valsts ieņēmumu dienests Ekonomikas ministrijai pēc pieprasījuma sniedz šādus ar gala saņēmēju saistītos datus: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35.1. gala saņēmēja pēdējā noslēgtā pārskata gada ikmēneša pievienotās vērtības nodokļa deklarācijās iekļautā uz citu Eiropas Savienības dalībvalsti piegādāto preču Eiropas Savienības teritorijā vērtība, eksportēto preču vērtība un to darījumu vērtība, kuru veikšanas vieta nav iekšzeme;</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35.2. noteiktajā termiņā jaunradītajās darba vietās algoto personu bruto darba samaksa mēnesī un datums, kurā gala saņēmējam ir uzsāktas darba attiecības ar konkrēto personu."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Izteikt 36.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"36. Pēc projekta pilnīgas pabeigšanas un komersanta iesnieguma saņemšanas par pēcuzraudzības uzsākšanu, bet ne vēlāk kā pēc diviem gadiem kopš projekta pilnīgas pabeigšanas Ekonomikas ministrija uzsāk un trīs secīgus gadus īsteno attiecīgā projekta šo noteikumu 32. punktā minēto rādītāju pēcuzraudzību. Ekonomikas ministrija katru pēcuzraudzības gadu izvērtē investīciju projekta rādītāju izpildi. Gala saņēmējam ir pienākums pēc katra pilnā pēcuzraudzības gada noslēguma iesniegt Ekonomikas ministrijā šo noteikumu 32. punktā minēto rādītāju izpildi pamatojošu dokumentāciju, tai skaitā revidenta pārskatus. Projekts uzskatāms par pilnībā pabeigtu saskaņā ar aizdevuma līgumā noteikto projekta īstenošanas termiņu. Sabiedrība "Altum" informē Ekonomikas ministriju par projekta faktisko pabeigšanas datumu."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Papildināt ar 36.</w:t>
      </w:r>
      <w:r w:rsidR="00000000" w:rsidRPr="00000000" w:rsidDel="00000000">
        <w:rPr>
          <w:vertAlign w:val="superscript"/>
          <w:rtl w:val="0"/>
        </w:rPr>
        <w:t xml:space="preserve">1</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vertAlign w:val="superscript"/>
          <w:rtl w:val="0"/>
        </w:rPr>
        <w:t xml:space="preserve">1</w:t>
      </w:r>
      <w:r w:rsidR="00000000" w:rsidRPr="00000000" w:rsidDel="00000000">
        <w:rPr>
          <w:rtl w:val="0"/>
        </w:rPr>
        <w:t xml:space="preserve"> Divu mēnešu laikā pēc pēcuzraudzības gada noslēguma Ekonomikas ministrija saņem no Valsts ieņēmumu dienesta, Centrālās statistikas pārvaldes un gala saņēmēja šo noteikumu 34.35. un 36. punktā minēto informāciju un triju mēnešu laikā pēc tam, kad ir beidzies pēcuzraudzības gads, izvērtē, vai gala saņēmējs konkrētajā pēcuzraudzības gadā atsevišķi ir sasniedzis šo noteikumu 32. punktā minētos rādītājus, un pieņem lēmumu par rādītāju sasniegšanu vai nesasniegšanu. Ja gala saņēmējs nesniedz pēcuzraudzībai nepieciešamo informāciju, kapitāla atlaide netiek piemērota.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Papildināt ar 36.</w:t>
      </w:r>
      <w:r w:rsidR="00000000" w:rsidRPr="00000000" w:rsidDel="00000000">
        <w:rPr>
          <w:vertAlign w:val="superscript"/>
          <w:rtl w:val="0"/>
        </w:rPr>
        <w:t xml:space="preserve">2</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vertAlign w:val="superscript"/>
          <w:rtl w:val="0"/>
        </w:rPr>
        <w:t xml:space="preserve">2</w:t>
      </w:r>
      <w:r w:rsidR="00000000" w:rsidRPr="00000000" w:rsidDel="00000000">
        <w:rPr>
          <w:rtl w:val="0"/>
        </w:rPr>
        <w:t xml:space="preserve"> Sabiedrība "Altum" kapitāla atlaidi var piemērot, ja Ekonomikas ministrija ir pieņēmusi lēmumu par rādītāju sasniegšanu. Ja Ekonomikas ministrija ir pieņēmusi lēmumu, ka rādītāji nav sasniegti, kapitāla atlaide netiek piemērota. Ekonomikas ministrija par lēmumu informē sabiedrību "Altum"."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Papildināt ar 36.</w:t>
      </w:r>
      <w:r w:rsidR="00000000" w:rsidRPr="00000000" w:rsidDel="00000000">
        <w:rPr>
          <w:vertAlign w:val="superscript"/>
          <w:rtl w:val="0"/>
        </w:rPr>
        <w:t xml:space="preserve">3</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vertAlign w:val="superscript"/>
          <w:rtl w:val="0"/>
        </w:rPr>
        <w:t xml:space="preserve">3</w:t>
      </w:r>
      <w:r w:rsidR="00000000" w:rsidRPr="00000000" w:rsidDel="00000000">
        <w:rPr>
          <w:rtl w:val="0"/>
        </w:rPr>
        <w:t xml:space="preserve"> Lai nodrošinātu projekta un piešķirtā atbalsta atbilstību šiem noteikumiem, sabiedrībai "Altum" ir tiesības nodot datus par gala saņēmēju un projektu Ekonomikas ministrijai, savukārt Ekonomikas ministrijai ir tiesības nodot datus par gala saņēmēju un projektu sabiedrībai "Altum". Ekonomikas ministrija un sabiedrība "Altum" slēdz vienošanos par informācijas apmaiņu."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Papildināt ar 36.</w:t>
      </w:r>
      <w:r w:rsidR="00000000" w:rsidRPr="00000000" w:rsidDel="00000000">
        <w:rPr>
          <w:vertAlign w:val="superscript"/>
          <w:rtl w:val="0"/>
        </w:rPr>
        <w:t xml:space="preserve">4</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vertAlign w:val="superscript"/>
          <w:rtl w:val="0"/>
        </w:rPr>
        <w:t xml:space="preserve">4</w:t>
      </w:r>
      <w:r w:rsidR="00000000" w:rsidRPr="00000000" w:rsidDel="00000000">
        <w:rPr>
          <w:rtl w:val="0"/>
        </w:rPr>
        <w:t xml:space="preserve"> Kapitāla atlaide tiek piemērota trīs daļās. Pēc katra pēcuzraudzības gada var tikt piemērota viena trešdaļa no šo noteikumu 31. punktā minētās sabiedrības "Altum" kapitāla atlaides daļas, ievērojot šo noteikumu 32. un 36.</w:t>
      </w:r>
      <w:r w:rsidR="00000000" w:rsidRPr="00000000" w:rsidDel="00000000">
        <w:rPr>
          <w:vertAlign w:val="superscript"/>
          <w:rtl w:val="0"/>
        </w:rPr>
        <w:t xml:space="preserve">2</w:t>
      </w:r>
      <w:r w:rsidR="00000000" w:rsidRPr="00000000" w:rsidDel="00000000">
        <w:rPr>
          <w:rtl w:val="0"/>
        </w:rPr>
        <w:t xml:space="preserve"> punktā minētos nosacījumus."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Izteikt 38.6.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"38.6. atbalstu nepiešķir, ja gala saņēmējs atbilst normatīvajos aktos maksātnespējas jomā noteiktajiem kritērijiem, uz kuriem pamatojoties kreditors vai parādnieks var pieprasīt maksātnespējas procesu, vai ja mazā vidējas kapitalizācijas komersanta vai vidējas kapitalizācijas komersanta kredītreitings ir zemāks par "B–" atbilstoši šo noteikumu pielikumam."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Izteikt 40.6.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"40.6. ja atbalstu paredzēts sniegt saskaņā ar šo noteikumu 21. punktu, – apliecinājums, ka šo noteikumu 12. punktā minētais projekta pieteikums atbilst Komisijas regulas Nr. 651/2014 6. panta 2. punktā ietvertajām prasībām par projekta pieteikumā iekļaujamo informāciju un ir iesniegts sabiedrībā "Altum" pirms darbu sākuma;".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Izteikt 40.7.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"40.7. ja biznesa projekts paredz divējāda lietojuma inovatīva produkta izstrādi, – Aizsardzības ministrijas atzinums;".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Izteikt 44.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"44. Sabiedrības "Altum" aizdevuma, aizdevuma ar kapitāla atlaidi vai paralēlā aizdevuma ar kapitāla atlaidi (tai skaitā tā pagarinājuma, ja attiecināms) termiņš nepārsniedz 15 gadus."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Izteikt 46.2.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"46.2. daļā, kas ir vienāda ar kapitāla atlaides apmēru, gala saņēmējs uzsāk astoņu mēnešu laikā pēc pēcuzraudzības perioda noslēguma, bet ne vēlāk kā 68 mēnešu laikā pēc projekta pabeigšanas, ja gala saņēmējs nav izpildījis šo noteikumu 32. punktā minētos rādītājus vai nav saņemta informācija par šo noteikumu 32. punktā minēto rādītāju izpildi. Ja līdz brīdim, kad tiek piemērota kapitāla atlaide, aizdevuma pamatsumma ir atmaksāta tādā apmērā, ka tās atlikums ir mazāks par piemērojamo kapitāla atlaidi, piemērojamās kapitāla atlaides apmēru samazina līdz faktiskajam aizdevuma pamatsummas atlikuma apmēram."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Izteikt 47.2.2.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"47.2.2. sabiedrības "Altum" aizdevuma daļai, kas pārsniedz piešķirtās kapitāla atlaides apjomu, subsīdijas ekvivalentu aprēķina kopā par visu atbalsta periodu, faktiski piemērojamo procentu summu atskaitot no procentu summas, kura jāmaksā saskaņā ar Eiropas Komisijas konkrētajam periodam noteikto bāzes likmi (bāzes un risku likmes publicētas Eiropas Komisijas Konkurences ģenerāldirektorāta tīmekļvietnē) un riska likmi, kuras procentuālais apmērs tiek noteikts atbilstoši sabiedrības "Altum" izsniegtajam aizdevuma saņēmēja reitingam un piedāvātajam nodrošinājumam;".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Papildināt ar 47.2.3.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"47.2.3. sabiedrības "Altum" paralēlā aizdevuma daļai, kas pārsniedz piešķirtā kapitāla atlaides apjomu, subsīdijas ekvivalentu aprēķina kopā par visu atbalsta periodu, faktiski piemēroto procentu summu atskaitot no procentu summas, kas jāmaksā saskaņā ar Eiropas Komisijas konkrētajam periodam noteikto bāzes likmi (publicēta Eiropas Komisijas Konkurences ģenerāldirektorāta tīmekļvietnē), kā arī riska likmi, kuras procentuālais apmērs tiek noteikts atbilstoši sabiedrības "Altum" izsniegtajam aizdevuma saņēmēja reitingam un piedāvātajam nodrošinājumam, bet ne mazāk kā 650 bāzes punktu apmērā."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Svītrot 49. 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Svītrot 52.4. apakšpunktu.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 </w:t>
      </w:r>
      <w:r w:rsidR="00000000" w:rsidRPr="00000000" w:rsidDel="00000000">
        <w:rPr>
          <w:rtl w:val="0"/>
        </w:rPr>
        <w:t xml:space="preserve">Izteikt 53.1.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"53.1. ieroču un munīcijas tirdzniecībai (Saimniecisko darbību statistiskās klasifikācijas Eiropas Kopienā 2. redakcijas 1. atjauninājuma (turpmāk – NACE 2.1. red.) klase 47.63 "Sporta aprīkojuma mazumtirdzniecība");".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 </w:t>
      </w:r>
      <w:r w:rsidR="00000000" w:rsidRPr="00000000" w:rsidDel="00000000">
        <w:rPr>
          <w:rtl w:val="0"/>
        </w:rPr>
        <w:t xml:space="preserve">Izteikt 53.3.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"53.3. tabakas izstrādājumu ražošanai un tirdzniecībai (NACE 2.1. red. 12. nodaļa "Tabakas izstrādājumu ražošana", klase 46.35 "Tabakas izstrādājumu vairumtirdzniecība", klase 47.26 "Tabakas izstrādājumu mazumtirdzniecība" un klase 47.92 "Specializētas mazumtirdzniecības starpniecības pakalpojumi");".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 </w:t>
      </w:r>
      <w:r w:rsidR="00000000" w:rsidRPr="00000000" w:rsidDel="00000000">
        <w:rPr>
          <w:rtl w:val="0"/>
        </w:rPr>
        <w:t xml:space="preserve">Izteikt 53.6.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"53.6. uzsāktu projektu īstenošanai, ja gala saņēmējs pretendē uz atbalstu saskaņā ar Komisijas regulu Nr. 651/2014;".</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 </w:t>
      </w:r>
      <w:r w:rsidR="00000000" w:rsidRPr="00000000" w:rsidDel="00000000">
        <w:rPr>
          <w:rtl w:val="0"/>
        </w:rPr>
        <w:t xml:space="preserve">Izteikt 53.7.3.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"53.7.3. gala saņēmējam zemes iegādei, ja maksa par zemes iegādi pārsniedz 10 procentus no sabiedrības "Altum" izsniegtā aizdevuma, aizdevuma ar kapitāla atlaidi vai paralēlā aizdevuma ar kapitāla atlaidi vai 15 procentus no sabiedrības "Altum" aizdevuma, aizdevuma ar kapitāla atlaidi vai paralēlā aizdevuma ar kapitāla atlaidi, ja zeme atrodas pamestā teritorijā vai bijušās rūpniecības teritorijā, kurā ir ēkas, saskaņā ar regulas 2021/1060 64. panta 1. punkta "b" apakšpunktu;".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 </w:t>
      </w:r>
      <w:r w:rsidR="00000000" w:rsidRPr="00000000" w:rsidDel="00000000">
        <w:rPr>
          <w:rtl w:val="0"/>
        </w:rPr>
        <w:t xml:space="preserve">Svītrot 53.12. apakšpunktu.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 </w:t>
      </w:r>
      <w:r w:rsidR="00000000" w:rsidRPr="00000000" w:rsidDel="00000000">
        <w:rPr>
          <w:rtl w:val="0"/>
        </w:rPr>
        <w:t xml:space="preserve">Izteikt 53.13.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"53.13. Komisijas regulas Nr. 651/2014 13. panta "a" punktā noteiktajām nozarēm atbilstoši Komisijas regulas Nr. 651/2014 2. panta 13., 43. un 43.a punktā noteiktajām definīcijām, ja gala saņēmējs pretendē uz atbalstu saskaņā ar Komisijas regulu Nr. 651/2014;".</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 </w:t>
      </w:r>
      <w:r w:rsidR="00000000" w:rsidRPr="00000000" w:rsidDel="00000000">
        <w:rPr>
          <w:rtl w:val="0"/>
        </w:rPr>
        <w:t xml:space="preserve">Izteikt 53.14.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"53.14. Komisijas regulas Nr. 651/2014 13. panta "b" punktā noteiktajām nozarēm atbilstoši Komisijas regulas Nr. 651/2014 2. panta 45. un 130. punktā noteiktajām definīcijām un platjoslas tīkla attīstīšanai, ja gala saņēmējs pretendē uz atbalstu saskaņā ar Komisijas regulu Nr. 651/2014;".</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 </w:t>
      </w:r>
      <w:r w:rsidR="00000000" w:rsidRPr="00000000" w:rsidDel="00000000">
        <w:rPr>
          <w:rtl w:val="0"/>
        </w:rPr>
        <w:t xml:space="preserve">Papildināt ar 53.15.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"53.15. ja atbalsta saņēmējs pretendē uz atbalstu saskaņā ar šo noteikumu 38. punktu: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53.15.1. zemes iegādei, nekustamā īpašuma iegādei un būvniecībai, izņemot gadījumus, kad tas nepieciešams projekta pētniecības un attīstības darbībām, ievērojot šo noteikumu 53.7.3. apakšpunktā minētos ierobežojumus;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53.15.2. gatavu iekārtu pielāgošanai, lai tās uzstādītu un uzsāktu to lietošanu esošās uzņēmējdarbības ietvaros."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 </w:t>
      </w:r>
      <w:r w:rsidR="00000000" w:rsidRPr="00000000" w:rsidDel="00000000">
        <w:rPr>
          <w:rtl w:val="0"/>
        </w:rPr>
        <w:t xml:space="preserve">Svītrot 55.3. apakšpunktu.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 </w:t>
      </w:r>
      <w:r w:rsidR="00000000" w:rsidRPr="00000000" w:rsidDel="00000000">
        <w:rPr>
          <w:rtl w:val="0"/>
        </w:rPr>
        <w:t xml:space="preserve">Izteikt 56.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"56. Aizsardzības ministrijai un Latvijas Zinātnes padomei ir pienākums, sniedzot atzinumu, nodrošināt interešu konfliktu neesību."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 </w:t>
      </w:r>
      <w:r w:rsidR="00000000" w:rsidRPr="00000000" w:rsidDel="00000000">
        <w:rPr>
          <w:rtl w:val="0"/>
        </w:rPr>
        <w:t xml:space="preserve">Papildināt ar 56.</w:t>
      </w:r>
      <w:r w:rsidR="00000000" w:rsidRPr="00000000" w:rsidDel="00000000">
        <w:rPr>
          <w:vertAlign w:val="superscript"/>
          <w:rtl w:val="0"/>
        </w:rPr>
        <w:t xml:space="preserve">1</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vertAlign w:val="superscript"/>
          <w:rtl w:val="0"/>
        </w:rPr>
        <w:t xml:space="preserve">1</w:t>
      </w:r>
      <w:r w:rsidR="00000000" w:rsidRPr="00000000" w:rsidDel="00000000">
        <w:rPr>
          <w:rtl w:val="0"/>
        </w:rPr>
        <w:t xml:space="preserve"> Aizsardzības ministrijai un Latvijas Zinātnes padomei ir tiesības pieprasīt no gala saņēmēja papildu informāciju, kas nepieciešama, lai sniegtu šo noteikumu 17. un 19. punktā minēto atzinumu."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 </w:t>
      </w:r>
      <w:r w:rsidR="00000000" w:rsidRPr="00000000" w:rsidDel="00000000">
        <w:rPr>
          <w:rtl w:val="0"/>
        </w:rPr>
        <w:t xml:space="preserve">Izteikt 58.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"58. Gala saņēmējam pēc projektu pabeigšanas ir pienākums divu kalendāra mēnešu laikā pēc kalendāra gada noslēguma iesniegt Centrālajā statistikas pārvaldē datus par šādiem RIS3 rādītājiem katrā no RIS3 jomām: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58.1. pētniecības un attīstības izdevumu apjoms – publiskais finansējums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58.2. pētniecības un attīstības izdevumu apjoms – privātās investīcijas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58.3. kopējie pētniecības un attīstības izdevumi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58.3.1. iekšējie izdevumi veiktajiem pētniecības un attīstības darbiem, kas ir kapitālizdevumi, – ēkas, iekārtas, intelektuālā īpašuma tiesības, datoru programmatūra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58.3.2. ārējie izdevumi pētniecības un attīstības darbiem, kas pasūtīti citās iestādēs, uzņēmumos, organizācijās;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58.4. kopējais pētniecības un attīstības personāls (pilna laika ekvivalents):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58.4.1. iekšējais pētniecības un attīstības personāls;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58.4.2. ārējais pētniecības un attīstības personāls;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58.5. piesaistītais ārvalstu finansējums (</w:t>
      </w:r>
      <w:r w:rsidR="00000000" w:rsidRPr="00000000" w:rsidDel="00000000">
        <w:rPr>
          <w:i w:val="1"/>
          <w:rtl w:val="0"/>
        </w:rPr>
        <w:t xml:space="preserve">euro</w:t>
      </w:r>
      <w:r w:rsidR="00000000" w:rsidRPr="00000000" w:rsidDel="00000000">
        <w:rPr>
          <w:rtl w:val="0"/>
        </w:rPr>
        <w:t xml:space="preserve">) (no starptautiskajām pētniecības programmām vai ārvalstu partneriem) pētniecībai;</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58.6. rūpnieciskie pētījumi (pētniecības un attīstības izdevumu apjoms,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58.7. tehniski ekonomiskā priekšizpēte (pētniecības un attīstības izdevumu apjoms,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58.8. jaunradītie produkti (preces un pakalpojumi, kas nav tehnoloģijas) (skaits);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58.9. eksperimentālās izstrādes (pētniecības un attīstības izdevumu apjoms,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58.10. jaunradītās tehnoloģijas (skaits);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58.11. radītie rūpnieciskā īpašuma objekti (skaits)."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 </w:t>
      </w:r>
      <w:r w:rsidR="00000000" w:rsidRPr="00000000" w:rsidDel="00000000">
        <w:rPr>
          <w:rtl w:val="0"/>
        </w:rPr>
        <w:t xml:space="preserve">Izteikt 60.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"60. Lēmumus par</w:t>
      </w:r>
      <w:r w:rsidR="00000000" w:rsidRPr="00000000" w:rsidDel="00000000">
        <w:rPr>
          <w:i w:val="1"/>
          <w:rtl w:val="0"/>
        </w:rPr>
        <w:t xml:space="preserve"> de minimis</w:t>
      </w:r>
      <w:r w:rsidR="00000000" w:rsidRPr="00000000" w:rsidDel="00000000">
        <w:rPr>
          <w:rtl w:val="0"/>
        </w:rPr>
        <w:t xml:space="preserve"> atbalsta piešķiršanu saskaņā ar šo noteikumu 30. vai 38. punktu var pieņemt līdz Komisijas regulas 2023/2831 darbības beigām, bet ne vēlāk kā līdz 2029. gada 31. decembrim, izņemot šo noteikumu 45.2. apakšpunktā minēto gadījumu, kad šo lēmumu var pieņemt līdz Komisijas regulas 2023/2831 darbības beigām."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 </w:t>
      </w:r>
      <w:r w:rsidR="00000000" w:rsidRPr="00000000" w:rsidDel="00000000">
        <w:rPr>
          <w:rtl w:val="0"/>
        </w:rPr>
        <w:t xml:space="preserve">Papildināt ar pielikumu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prezidente</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E. Siliņa</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Ekonomikas 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V. Valainis</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25-TA-215</w:t>
    </w:r>
    <w:r>
      <w:br/>
    </w:r>
    <w:r w:rsidR="00000000" w:rsidRPr="00000000" w:rsidDel="00000000">
      <w:rPr>
        <w:rtl w:val="0"/>
      </w:rPr>
      <w:t xml:space="preserve">Izdrukāts 29.07.2026. 22.24 - 1.0.VK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25-TA-215</w:t>
    </w:r>
    <w:r>
      <w:br/>
    </w:r>
    <w:r w:rsidR="00000000" w:rsidRPr="00000000" w:rsidDel="00000000">
      <w:rPr>
        <w:rtl w:val="0"/>
      </w:rPr>
      <w:t xml:space="preserve">Izdrukāts 29.07.2026. 22.24 - 1.0.VK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noteikumu_(grozījumu)_projekts_25-TA-215.docx</dc:title>
</cp:coreProperties>
</file>

<file path=docProps/custom.xml><?xml version="1.0" encoding="utf-8"?>
<Properties xmlns="http://schemas.openxmlformats.org/officeDocument/2006/custom-properties" xmlns:vt="http://schemas.openxmlformats.org/officeDocument/2006/docPropsVTypes"/>
</file>