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7"/>
        <w:gridCol w:w="5086"/>
        <w:gridCol w:w="5086"/>
        <w:gridCol w:w="2735"/>
        <w:gridCol w:w="1536"/>
        <w:gridCol w:w="1536"/>
        <w:gridCol w:w="1536"/>
        <w:tblGridChange w:id="0">
          <w:tblGrid>
            <w:gridCol w:w="877"/>
            <w:gridCol w:w="5086"/>
            <w:gridCol w:w="5086"/>
            <w:gridCol w:w="2735"/>
            <w:gridCol w:w="1536"/>
            <w:gridCol w:w="1536"/>
            <w:gridCol w:w="1536"/>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un kuģošanas 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transportlīdzekļa un kuģošanas līdzekļa norakstīšanu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tā numurētā agregāta, kuģošanas līdzekļa un uzkarināmā motora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numurētā agregāta piederību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ciparu vai vienādu ciparu simbolu kombināciju </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991,73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1199,99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(izņemot mopēdu), ja valsts reģistrācijas numurs ir ar diviem dažādiem cipariem un tādu ciparu kombināciju, kuras pirmais cipars ir jebkurš cipars un visi atlikušie cipari ir "0" (nulle)</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šā pielikuma 13.1. un 13.2. apakšpunktam,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 un kuģošanas 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 transportlīdzekļa (izņemot velosipēdus un elektroskrejriteņus) un kuģošanas līdzekļa uzskaites tehnisko datu noteikšana, pārbaude un ievadīšana transportlīdzekļu un to vadītāju valsts reģistrā</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īpašnieka atzīmes izdarīšana transportlīdzekļu un to vadītāju valsts reģistrā, ja īpašnieks ir persona, kurai saskaņā ar normatīvajiem aktiem ir tiesības sniegt patērētāju kreditēšanas pakalpojumu un kura ir noslēgusi līgumu ar CSDD</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velorikšas vai koplietošanas elektroskrejriteņa reģistrācijas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reģistrācijas numura uzlīme ar iekļautu hologrāfisko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transportlīdzekļa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kuģošanas līdzekļa motora piederību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Latvijas un citu ES valstīs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ārpus ES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apliecība vai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atpūtas kuģu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 D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A2 vai A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izmantošana BE kategorijas transportlīdzekļu sastāva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jahtu vadītājam, lai iegūtu tiesības vadīt jahtas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buru jahtu vadītājiem, kas jaunāki par 18 gadiem, lai iegūtu tiesības vadīt buru jahtas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jahtu vadītājiem, lai iegūtu tiesības vadīt jahtas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buru jahtu vadītājiem, kas jaunāki par 18 gadiem, lai iegūtu tiesības vadīt buru jahtas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starptautiskās atpūtas kuģu vadītāja apliecības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ar buru kuģi starptautiskās atpūtas kuģu vadītāja apliecības iegūšanai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transportlīdzekļa valsts tehniskajā apskatē*</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 apskate, pamatpārbaude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noformēšana vienu dienu piedalīties ceļu satiksmē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par atbilstību Eiropas Transporta ministru konferences (ETMK) prasībām ekoloģijas un drošības jomā (turpmāk – ETMK sertifikāts)*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nolīgumā par bīstamo kravu starptautiskajiem pārvadājumiem ar autotransportu (ADR) noteikto bīstamu vielu pārvadāšanai paredzētā transportlīdzekļa atbilstības sertifikāta (turpmāk – ADR sertifikāts)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dalāmu kokmateriālu un lauksaimniecības produkcijas lielgabarīta un smagsvara kravu pārvadāšanai ar specializētajiem lielgabarīta un smagsvara transportlīdzekļiem vai to sastāviem*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ETMK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lai saņemtu sertifikātu dalāmu kokmateriālu un lauksaimniecības produkcijas lielgabarīta un smagsvara kravu pārvadāšanai ar specializētajiem lielgabarīta un smagsvara transportlīdzekļiem vai to sastāviem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O1,O2,O3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 M2, M3,N1,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noformēšana par transportlīdzekļa atbilstību vēsturiskā spēkrata statusam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izmaiņu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Caurlaides noformēšana,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 pasta komersantu, Saeimas, Valsts prezidenta kancelejas, Valsts kancelejas, ministriju, Augstākās tiesas un Ģenerālprokuratūras  transportlīdzekļiem, ar kuriem nogādā pasta sūtījumus, kā arī transportlīdzekļiem, ar kuriem veic inkasāciju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24-TA-2753</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24-TA-2753</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noteikumu_konsolidētā_versija_p2_24-TA-2753.docx</dc:title>
</cp:coreProperties>
</file>

<file path=docProps/custom.xml><?xml version="1.0" encoding="utf-8"?>
<Properties xmlns="http://schemas.openxmlformats.org/officeDocument/2006/custom-properties" xmlns:vt="http://schemas.openxmlformats.org/officeDocument/2006/docPropsVTypes"/>
</file>