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Zemes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Zemes pārvaldības likumā (Latvijas Vēstnesis, 2014, 228. nr.; 2016, 189. nr.; 2017, 242. nr.; 2018, 201. nr.; 2019, 57., 240. nr.; 2022, 33., 211A.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"ceļš vai iela" (attiecīgā locījumā) ar vārdu "ceļš"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Veidojot jaunas apbūves teritorijas, kas teritorijas plānojumā vai lokālplānojumā paredzētas kā dzīvojamās apbūves teritorijas, šajās teritorijās plānotais ceļu tīkls piekrīt pašvaldībai un ir pašvaldības vienotā ceļu tīkla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ceturto, piekto un sesto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Līdz ar lokālplānojuma vai detālplānojuma apstiprināšanu pašvaldība izdod atsevišķu administratīvo aktu par pašvaldības nozīmes ceļa statusa noteikšanu apbūves teritorijā plānotajiem ceļiem. Šā lēmuma pārsūdzēšana neaptur tā darbību. Minētais lietošanas tiesību apgrūtinājums tiek nodibināts līdz brīdim, kad ceļš šā panta piektajā daļā noteiktajā kārtībā ir atsavināts pašvaldībai.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Pašvaldība atbilstoši šā likuma 8.</w:t>
      </w:r>
      <w:r w:rsidR="00000000" w:rsidRPr="00000000" w:rsidDel="00000000">
        <w:rPr>
          <w:vertAlign w:val="superscript"/>
          <w:rtl w:val="0"/>
        </w:rPr>
        <w:t xml:space="preserve">1</w:t>
      </w:r>
      <w:r w:rsidR="00000000" w:rsidRPr="00000000" w:rsidDel="00000000">
        <w:rPr>
          <w:rtl w:val="0"/>
        </w:rPr>
        <w:t xml:space="preserve"> panta ceturtajai daļai piedalās šā panta trešajā daļā minētā pašvaldības nozīmes ceļa uzturēšanā pēc tam, kad tas noteiktā kārtībā ir nodots ekspluatācijā.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Pēc ceļa nodošanas ekspluatācijā zemes īpašnieks un pašvaldība var vienoties par ceļa nodošanu pašvaldības īpašumā bez atlīdzības.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Šā panta trešajā daļā minētajā apbūves teritorijā plānoto ēku būvdarbu veikšanai nepieciešamajās būvatļaujās iekļauj nosacījumu par tiesībām ēku nodot ekspluatācijā pēc tam, kad ir izbūvēti šajā teritorijā plānotie ceļi un inženiertīkli un tie noteiktā kārtībā ir nodoti ekspluatācijā."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trešo teikumu pēc vārda "iela" ar vārdiem un skaitli "izņemot gadījumus, ja pašvaldības nozīmes ceļu nosaka atbilstoši šā likuma 7.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"Pašvaldības nozīmes ceļš vai iela ir publiski pieejama" ar vārdiem "Pašvaldības nozīmes ceļš ir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"ierīkot jaunas inženierkomunikācijas" ar vārdiem "ierīkot vai atļaut ierīkot jaunus inženiertīklus".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2 </w:t>
      </w:r>
      <w:r w:rsidR="00000000" w:rsidRPr="00000000" w:rsidDel="00000000">
        <w:rPr>
          <w:b w:val="1"/>
          <w:rtl w:val="0"/>
        </w:rPr>
        <w:t xml:space="preserve">pants. Ceļa un zemes zem ceļa kā bezmantinieka mantas vai bezīpašnieka lietas piekritība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Pašvaldībai piekrīt inženierbūve – ceļš – un zemes gabals ar izbūvētu inženierbūvi – ceļu – vai bez tās atbilstoši Civillikuma 416. pantam kā bezmantinieka manta vai atbilstoši Civillikuma 930. pantam kā bezīpašnieka lieta."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14. un 15.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Ja  inženierbūve – ceļš – vai zemes gabals zem ceļa ar izbūvētu inženierbūvi – ceļu – vai bez tās ir piekrituši valstij kā bezmantinieka manta vai bezīpašnieka lieta līdz 2025. gada 1. jūlijam, šāda zeme un ceļi tiek nodoti pašvaldību īpašumā viena gada laikā. Ja ceļš kā inženierbūve noteiktā kārtībā nav nodots ekspluatācijā, pašvaldība pārņemtā ceļa izbūvi nodrošina atbilstoši tās budžeta iespējām un atbilstoši konkrētās apbūves teritorijas apbūves attīstībai.</w:t>
      </w:r>
      <w:r w:rsidR="00000000" w:rsidRPr="00000000" w:rsidDel="00000000">
        <w:rPr>
          <w:rtl w:val="0"/>
        </w:rPr>
        <w:t xml:space="preserve">15. Grozījumi šā likuma 7. panta otrajā daļā par tās izteikšanu jaunā redakcijā un 7. panta trešā, ceturtā, piektā un sestā daļa stājas spēkā 2026.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likumprojekts_(grozījumi)_24-TA-927.docx</dc:title>
</cp:coreProperties>
</file>

<file path=docProps/custom.xml><?xml version="1.0" encoding="utf-8"?>
<Properties xmlns="http://schemas.openxmlformats.org/officeDocument/2006/custom-properties" xmlns:vt="http://schemas.openxmlformats.org/officeDocument/2006/docPropsVTypes"/>
</file>