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(Latvijas Vēstnesis, 2022, 137.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Atbalstu sabiedrība "Altum" sniedz dzīvokļu īpašniekiem, noslēdzot civiltiesisku līgumu ar pilnvaroto personu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Ja saimnieciskās darbības veicējs darbojas regulas Nr. 1407/2013 1. panta 1. punkta "a", "aa", "b" vai "c" apakšpunktā minētajās nozarēs, atbalstu šo noteikumu ietvaros drīkst piešķirt tikai tad, ja tiek skaidri nodalītas atbalstāmās darbības un finanšu plūsmas, nodrošinot, ka darbības regulas Nr. 1407/2013 1. panta 1. punkta "a","aa", "b" vai "c" apakšpunktā minētajās nozarēs negūst labumu no piešķirtā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Lēmumi par atbalsta piešķiršanu saskaņā ar regulu Nr. 1407/2013 netiek pieņemti pēc minētās regulas darbības beigām, kas noteikts minētās regulas 7. panta 4. punktā un 8. pantā."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23-TA-2923</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23-TA-2923</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noteikumu_(grozījumu)_projekts_23-TA-2923.docx</dc:title>
</cp:coreProperties>
</file>

<file path=docProps/custom.xml><?xml version="1.0" encoding="utf-8"?>
<Properties xmlns="http://schemas.openxmlformats.org/officeDocument/2006/custom-properties" xmlns:vt="http://schemas.openxmlformats.org/officeDocument/2006/docPropsVTypes"/>
</file>