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5. jūlija noteikumos Nr. 418 "Latvijas Atveseļošanas un noturības mehānisma plāna 5.1.r. reformu un investīciju virziena "Produktivitātes paaugstināšana caur investīciju apjoma palielināšanu P&amp;A" 5.1.1.r. reformas "Inovāciju pārvaldība un privāto P&amp;A investīciju motivācija" 5.1.1.2.i. investīcijas "Atbalsta instruments inovāciju klasteru attīstībai" īstenošanas noteikumi kompetences centru ietvaros" (Latvijas Vēstnesis, 2022, 130. nr.; 2023, 131.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mērķis – līdz 2025. gada 30. jūnijam apstiprinātas saistības vismaz 22 500 000 </w:t>
      </w:r>
      <w:r w:rsidR="00000000" w:rsidRPr="00000000" w:rsidDel="00000000">
        <w:rPr>
          <w:i w:val="1"/>
          <w:rtl w:val="0"/>
        </w:rPr>
        <w:t xml:space="preserve">euro</w:t>
      </w:r>
      <w:r w:rsidR="00000000" w:rsidRPr="00000000" w:rsidDel="00000000">
        <w:rPr>
          <w:rtl w:val="0"/>
        </w:rPr>
        <w:t xml:space="preserve"> apmērā no šo noteikumu 5. punktā noteiktā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uzraudzības rādītājs - līdz 2024. gada 31. decembrim apstiprinātas saistības vismaz 11 250 000 </w:t>
      </w:r>
      <w:r w:rsidR="00000000" w:rsidRPr="00000000" w:rsidDel="00000000">
        <w:rPr>
          <w:i w:val="1"/>
          <w:rtl w:val="0"/>
        </w:rPr>
        <w:t xml:space="preserve">euro </w:t>
      </w:r>
      <w:r w:rsidR="00000000" w:rsidRPr="00000000" w:rsidDel="00000000">
        <w:rPr>
          <w:rtl w:val="0"/>
        </w:rPr>
        <w:t xml:space="preserve">apmērā no šo noteikumu 5. punktā noteiktā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Reizi gadā kompetences centri pēc Ekonomikas ministrijai pieprasījuma iesniedz šādus viedās specializācijas jomas rādītājus: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publiskais finansējums un privātās investīcijas, kas papildina komercdarbības atbalstu inovācijām vai pētniecības projektiem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1.1. pētniecības un attīstības izdevumu apjoms – publiskais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pētniecības un attīstības izdevumu apjoms – privātās investīcijas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jaunradīto produktu, pakalpojumu un tehnoloģiju skaits komersantos pēc atbalsta saņemšanas: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2.1. jaunradītie produkti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2.2. jaunradītās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2.3. jaunradītie pakalpojumi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pētniecības projekti, kas ietver sadarbību starp komersantiem un pētniecības un zināšanu izplatīšanas organizācijām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4. izveidotās jaunās darba vietas ar pētniecības projektu īstenošanu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5. jaunradīto darba vietu atalgojuma apmērs projekta ietvaros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6. komersantu papildu ieguldījumi (</w:t>
      </w:r>
      <w:r w:rsidR="00000000" w:rsidRPr="00000000" w:rsidDel="00000000">
        <w:rPr>
          <w:i w:val="1"/>
          <w:rtl w:val="0"/>
        </w:rPr>
        <w:t xml:space="preserve">euro</w:t>
      </w:r>
      <w:r w:rsidR="00000000" w:rsidRPr="00000000" w:rsidDel="00000000">
        <w:rPr>
          <w:rtl w:val="0"/>
        </w:rPr>
        <w:t xml:space="preserve">) pētniecībā un attīstībā ārpus pētniecības projekta īstenošanas;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7. piesaistītais ārvalstu finansējums (</w:t>
      </w:r>
      <w:r w:rsidR="00000000" w:rsidRPr="00000000" w:rsidDel="00000000">
        <w:rPr>
          <w:i w:val="1"/>
          <w:rtl w:val="0"/>
        </w:rPr>
        <w:t xml:space="preserve">euro</w:t>
      </w:r>
      <w:r w:rsidR="00000000" w:rsidRPr="00000000" w:rsidDel="00000000">
        <w:rPr>
          <w:rtl w:val="0"/>
        </w:rPr>
        <w:t xml:space="preserve">) (no starptautiskajām pētniecības programmām vai ārvalstu partneriem) pētniecībai uzņēmējdarbības sektorā;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8. komersanta noslēgtie licences līgumi (skaits) par pētniecības projekta īstenošanas rezultātā radītā intelektuālā īpašuma komercializēšanu;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9. komersanta neto apgrozījums (</w:t>
      </w:r>
      <w:r w:rsidR="00000000" w:rsidRPr="00000000" w:rsidDel="00000000">
        <w:rPr>
          <w:i w:val="1"/>
          <w:rtl w:val="0"/>
        </w:rPr>
        <w:t xml:space="preserve">euro</w:t>
      </w:r>
      <w:r w:rsidR="00000000" w:rsidRPr="00000000" w:rsidDel="00000000">
        <w:rPr>
          <w:rtl w:val="0"/>
        </w:rPr>
        <w:t xml:space="preserve">) no pētniecības projekta rezultāta ieviešanas saimnieciskajā darbībā vai komercializēšanas;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 pētniecības projektos iesaistīto doktorantu un doktoru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 zinātniskais personāls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10.1.1. zinātniskais personāls – jaunie zinātnieki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10.1.2. zinātniskais personāls – maģistranti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10.1.3. zinātniskais personāls – doktoranti un doktora grāda pretendenti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 zinātniskais personāls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10.2.1. zinātniskais personāls – jaunie zinātnieki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10.2.2. zinātniskais personāls – maģistranti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10.2.3. zinātniskais personāls – doktoranti un doktora grāda pretendenti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 zinātnes tehniskais personāls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10.3.1. zinātnes tehniskais personāls – jaunie zinātnieki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10.3.2. zinātnes tehniskais personāls – maģistranti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10.3.3. zinātnes tehniskais personāls – doktoranti un doktora grāda pretendenti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 zinātnes tehniskais personāls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10.4.1. zinātnes tehniskais personāls – jaunie zinātnieki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10.4.2. zinātnes tehniskais personāls – maģistranti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10.4.3. zinātnes tehniskais personāls – doktoranti un doktora grāda pretendenti (pilna laika ekvivalents);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11. zinātnisko publikāciju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12. projekta ietvaros jaunradīto produktu, pakalpojumu vai tehnoloģiju neto apgrozījums (</w:t>
      </w:r>
      <w:r w:rsidR="00000000" w:rsidRPr="00000000" w:rsidDel="00000000">
        <w:rPr>
          <w:i w:val="1"/>
          <w:rtl w:val="0"/>
        </w:rPr>
        <w:t xml:space="preserve">euro</w:t>
      </w:r>
      <w:r w:rsidR="00000000" w:rsidRPr="00000000" w:rsidDel="00000000">
        <w:rPr>
          <w:rtl w:val="0"/>
        </w:rPr>
        <w:t xml:space="preserve">) salīdzinājumā ar pirmo projekta īstenošanas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13. projekta ietvaros jaunradīto produktu, pakalpojumu vai tehnoloģiju eksports (</w:t>
      </w:r>
      <w:r w:rsidR="00000000" w:rsidRPr="00000000" w:rsidDel="00000000">
        <w:rPr>
          <w:i w:val="1"/>
          <w:rtl w:val="0"/>
        </w:rPr>
        <w:t xml:space="preserve">euro</w:t>
      </w:r>
      <w:r w:rsidR="00000000" w:rsidRPr="00000000" w:rsidDel="00000000">
        <w:rPr>
          <w:rtl w:val="0"/>
        </w:rPr>
        <w:t xml:space="preserve">) salīdzinājumā ar pirmo projekta īstenošanas gadu;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14. ārējie izdevumi pētniecības darbiem, kas pasūtīti citās iestādēs, uzņēmumos, organizācijās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15. kapitālizdevumi – ēkas, iekārtas, intelektuālā īpašuma tiesības, datoru programmatūra (pētniecības un attīstības izdevumu apjoms,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 radītie rūpnieciskā īpašuma objekti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16.1. radītie rūpnieciskā īpašuma objekti – patents un patentu pieteikumi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16.2. radītie rūpnieciskā īpašuma objekti – augu šķirne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16.3. radītie rūpnieciskā īpašuma objekti – reģistrēts dizainparaugs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16.4. radītie rūpnieciskā īpašuma objekti – pusvadītāja izstrādājums vai tā pieteikums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16.5. radītie rūpnieciskā īpašuma objekti – preču zīme (ieskaitot kolektīvās zīmes) un sertifikācijas zīme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piedalīties un nodrošināt, ka pētniecības projektu atlases padomes sēdēs pētniecības projektu vērtēšanā tiek ievērots interešu konflikta novēršanas princips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princips, vienlaikus novēršot korupcijas, krāpšanas un dubulto finansējuma, ja nepieciešams, veicot atbilstošus korekcijas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nodrošinātu investīcijas atbilstību principam "nenodari būtisku kaitējumu" saskaņā ar Eiropas Parlamenta un Padomes 2021. gada 12. februāra Regulas 2021/241, ar ko izveido Atveseļošanas un noturības mehānismu, 2. panta 6. punktu, investīcijas ietvaros Atveseļošanas fonda finansējumu nepiešķir šādām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 darbībām, kas saistītas ar fosilo kurināmo, tostarp tā pakārtotu izmantošanu, tai skaitā projektiem elektroenerģijas vai siltuma ražošanā, kā arī saistīto pārvades un sadales infrastruktūru, izmantojot dabasgāzi;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 darbībām, kas saistītas ar siltumnīcefekta gāzu emisiju radīšanu (izņemot gadījumus, ja projekta iesniedzējs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 darbībām, kas saistītas ar atkritumu poligoniem (izņemot gadījumus, ja projekta iesniedzējs ir saņēmis atļauju šo darbību veikšanai), sadedzināšanas iekārtām un mehāniski bioloģiskās apstrādes iekārtām;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4. darbībām, kas saistītas ar atkritumu savākšanas, uzglabāšanas, apstrādes, pārstrādes un apglabāšanas iekārtu un to programmatūru iegādi un nomu;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5. darbībām, kas kaitē labam ūdensobjektu stāvoklim vai labam to ekoloģiskajam potenciālam, ieskaitot virszemes ūdeņus un gruntsūdeņus, vai labam jūras ūdeņu vides stāvoklim (izņemot gadījumus, ja projekta iesniedzējs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6. darbībām, kas kaitē aprites ekonomikai, tostarp atkritumu rašanās novēršanai un reciklēšanai, vienā vai vairākos produktu aprites cikla posmos radot būtiskus efektivitātes trūkumus materiālu izmantošanā vai tādu dabas resursu tiešā vai netiešā izmantošanā kā neatjaunojami energoresursi, izejvielas, ūdens un zeme, tostarp produktu ilgizturības, remontējamības, modernizējamības, atkārtotas lietojamības vai reciklējamības ziņā (izņemot gadījumus, ja projekta iesniedzējs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7. darbībām, kas kaitē vides piesārņojuma novēršanai un kontrolei (izņemot gadījumus, ja projekta iesniedzējs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8. darbībām, kas kaitē bioloģiskās daudzveidības un ekosistēmu aizsardzībai un atjaunošanai, ja minētā darbība kaitē labam ekosistēmu stāvoklim un izturētspējai, vai kaitē dzīvotņu un sugu, tostarp Eiropas Savienības nozīmes dzīvotņu un sugu, aizsardzības statusam (izņemot gadījumus, ja atbalsta saņēmējs ir saņēmis atļauju šo darbību veikšanai);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9. 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30.1.1.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"30.1.1. pētniecības projektu atlases padomes izvērtētiem rūpnieciskiem pētījumiem atbilstoši Komisijas regulas Nr. 651/2014 2. panta 85. punktā minētajai definīcijai, par kuriem saņemts labvēlīgs aģentūras lēmums par atbilstību komercdarbības atbalsta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"30.1.2. pētniecības projektu atlases padomes izvērtētām eksperimentālām izstrādēm atbilstoši Komisijas regulas Nr. 651/2014 2. panta 86. punktā minētajai definīcijai, par kurām saņemts labvēlīgs aģentūras lēmums par atbilstību komercdarbības atbalsta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30.1.3.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"30.1.3. pētniecības projektu atlases padomes izvērtētai tehniski ekonomiskai priekšizpētei pētniecības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651/2014 2. panta 87. punktā minētajai definīcijai, par kuru saņemts labvēlīgs aģentūras lēmums par atbilstību komercdarbības atbalsta nosacījumiem. Maksimālais finansējuma apjoms nepārsniedz 300 000 </w:t>
      </w:r>
      <w:r w:rsidR="00000000" w:rsidRPr="00000000" w:rsidDel="00000000">
        <w:rPr>
          <w:i w:val="1"/>
          <w:rtl w:val="0"/>
        </w:rPr>
        <w:t xml:space="preserve">euro</w:t>
      </w:r>
      <w:r w:rsidR="00000000" w:rsidRPr="00000000" w:rsidDel="00000000">
        <w:rPr>
          <w:rtl w:val="0"/>
        </w:rPr>
        <w:t xml:space="preserve"> gadā vienam kompetences centram;".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kompetences centra organizētai pētniecības projektu koordinācijai, tai skaitā sadarbības veicināšanai, informācijas un zināšanu kopīgošanai, kā arī kompetences centra projekta vadības izmaksu segšanai. Finansējumu investīcijas ietvaros šajā apakšpunktā minētajām darbībām sniedz saskaņā ar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3.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kompetences centra attiecināmās izmaksas. Finansējumu šajā apakšpunktā minētajām darbībām sniedz saskaņā ar Komisijas regulu Nr. 2023/2831: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36.2.1. izmaksas šo noteikumu 30.2. apakšpunktā noteikto darbību veikšanai (kompetences centra dalības maksa iesaistei starptautiskās pētniecības un attīstības programmās, platformās un iniciatīvās, dalības maksa tīklošanās un mobilitātes pasākumiem, starptautisko projektu sagatavošanas izmaksas, lai iesaistītos starptautiskos konsorcijos, piemēram, programmas "Apvārsnis Eiropa" projektos, un citas izmaksas, kuras nodrošina sadarbību un iesaisti starptautiskos pētniecības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36.2.2. kompetences centra projekta vadības izmaksas  – projekta vadības personāla atlīdzības izmaksas par projekta ietvaros veicamo darbību plānošanu, koordinēšanu un kontroli, tai skaitā arī izmaksas par projekta dokumentācijas nodrošināšanu atbilstoši Eiropas Savienības un nacionāla līmeņa tiesību aktos noteiktajām prasībām, projekta iepirkumu organizēšanas un kontroles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36.2.3. ārpakalpojumu iegāde – juridiskie, grāmatvedības, lietvedības, neatkarīga revidenta, iekšējā auditora un tulkošanas pakalpojumi, kas nepieciešami kompetences centru darbības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"55.7. ne retāk kā reizi sešos mēnešos publicēt savā tīmekļvietnē un, ja iespējams, finansējuma saņēmēja tīmekļvietnē aktuālo informāciju par pētniecības projekta īstenošanas gaitu, nodrošinot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Pētniecības projektu atlases padomei investīcijas ietvaros nepieciešams: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 pārliecināties, ka pētniecības projektā ir norādīta un analizēta veicamo vai jau veikto investīciju lietderība un pamatotība, kā arī komercializācijas potenciāls;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66.2. pārliecināties, ka ir norādīta pētniecības projekta atbilstība definētajai kompetences centra attīstības stratēģijai;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66.3. pārliecināties, ka pētniecības projektā definētie rādītāji ir sasniedzami noteiktajā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66.4. piesaistīt ārējo ekspertu pētniecības projekta vērtēšanā;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66.5. vērtēt pētniecības projekta pieteikuma starpposma un gala noslēguma pārskatus, balsojot par to apstiprināšanu vai noraidīšanu;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66.6. uzraudzīt, lai pētniecības projektos tiktu izpildīti noteiktie starpposmu un gala rezultātu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66.7. uzraudzīt, lai tiktu sasniegti šo noteikumu 12. punktā minētie kompetences centra darbības rādītāji;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66.8. ja nepieciešams, iesaistīt ekspertus pirms pētniecības projekta noslēguma maksājuma iesniegšanas aģentūrā, lai gūtu pārliecību, ka veiktie ieguldījumi ir bijuši lietderīgi un pamatoti pētniecības projekta rezultātu sasniegšanā;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66.9. pārliecināties par interešu konflikta, krāpšanas, korupcijas un dubultā finansējuma riska neesību pētniecības projektu izvērtēšanas, apstiprināšanas un īstenošanas procesā, veicot nepieciešamās darbības to novēršanā un labošanā, nodrošinot objektivitāti un vienlīdzīgu pieeju visiem pētniecības projektu pieteicējiem;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66.10. nodrošināt pētniecības projektu izvērtēšanas dokumentēšanu un caurspīdīgumu;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66.11. nodrošināt, ka pētniecības projektu izvērtēšanas procesā tiek ievērota dzimumu līdztiesība un vienlīdzīgu iespēju princips;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66.12. nodrošināt principa "nenodari būtisku kaitējumu" ievērošanu pētniecības projektu apstiprināšanā, lai iekļautā darbība ir nebūtiska vai tai ir neesoša paredzamā ietekme uz visiem vides mērķiem, vērtējot gan tiešās, gan primārās netiešās sekas visā aprites ciklā saskaņā ar Eiropas Parlamenta un Padomes 2021. gada 12. februāra Regulas Nr. 2021/241, ar ko izveido Atveseļošanas un noturības mehānismu, 2. panta 6.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66.13. pamatojoties uz kompetences centra veikto izmaksu izvērtējumu, pārliecināties, ka sadarbības partnera pētniecības projekta izdevumi ir nepieciešami pētījuma rezultātu sasniegšanai;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66.14. nodrošināt, ka tiek aizpildīts eksperta individuālais vērtējums par pētniecības projektu atbilstību noteiktajiem kritērijiem, pirms vērtējuma parakstot apliecinājumu par interešu konflikta neesību. Vērtējums jāsniedz visiem, kuri ar balsstiesībām piedalās pētniecības projektu atlases padomē."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pētniecības projektu atlases padomes sēdēs pētniecības projekti tiek vērtēti, ievērojot interešu konflikta novēršanas, caurspīdīguma un vienlīdzības principu, vienlaikus novēršot un labojot dubultā finansējuma iestāšanās, krāpšanas un korupcijas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Pētniecības projektu atlases padomes locekļi, eksperti un kompetences centra darbinieki, kas iesaistīti pētniecības projektu vērtēšanas un īstenošanas uzraudzības procesā, paraksta šo noteikumu 3. pielikumā esošo objektivitātes, konfidencialitātes un interešu konflikta neesības apliecinājumu, ka interešu konflikta situācijā nepiedalīsies pētniecības projektu izvērtēšanā un īstenošanas uzraudzībā. Apliecinājumu paraksta pirms Atveseļošanas fonda finansējuma pētniecības projektu izskatīšanas, starpposma un gala nodevumu vērtēšanas. Apliecinājumu kompetences centrs glabā atbilstoši Komisijas regulas Nr. 2018/1046 132. pantam un šo noteikumu 118.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Aģentūra lēmumus par komercdarbības atbalsta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93.1. finansējuma saņēmējam var pieņemt līdz Komisijas regulas Nr. 2023/2831 7.panta 3.punktā noteiktajam termiņam;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93.2. sadarbības partnerim var pieņemt līdz Komisijas regulas Nr. 651/2014 58. panta 4. punktā noteiktajam termiņam."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97.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Komercdarbības atbalsts, kas sniegts kompetences centriem saskaņā ar Komisijas regulu Nr. 2023/2831, tiek piešķirts ar aģentūras lēmumu. Lēmuma pieņemšanas diena ir uzskatāma par komercdarbības atbalsta piešķiršanas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98.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 Atveseļošanas fonda finansējums tiek piešķirts tikai gadījumā, ja kompetences centrs kā finansējuma saņēmējs atbilst Komisijas regulas Nr. 2023/2831 prasībām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"108. Šo noteikumu ietvaros finansējuma saņēmēji saņemto de minimis atbalstu var apvienot ar citu de minimis atbalstu saskaņā ar Komisijas regulas Nr. 2023/2831 5. pantu, tai skaitā par vienām un tām pašām attiecināmajām izmaksām, ja pēc atbalstu apvienošanas atbalsta vienībai vai izmaksu pozīcijai attiecīgā maksimālā atbalsta intensitāte nepārsniedz 100 procentus, kā arī netiek pārsniegts Komisijas regulas Nr. 2023/2831 3. panta 2. punktā noteiktais maksimālais de minimis atbalsta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Atbalstu projekta iesniedzējam nepiešķir Komisijas regulas Nr. 2023/2831 1. panta 1. punktā noteiktajām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1</w:t>
      </w:r>
      <w:r w:rsidR="00000000" w:rsidRPr="00000000" w:rsidDel="00000000">
        <w:rPr>
          <w:rtl w:val="0"/>
        </w:rPr>
        <w:t xml:space="preserve"> Atbalstu sadarbības partnerim nepiešķir Komisijas regulas Nr. 651/2014 1. panta 2. punkta "c" un "d" apakšpunktā un 3. punktā noteiktajām neatbalstāmajām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110.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 Atbalstu projekta iesniedzējam un sadarbības partnerim nepiešķir šādām nozarēm un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1. ieroču un munīcijas tirdzniecībai (Saimniecisko darbību statistiskās klasifikācijas Eiropas Kopienā 2. redakcijas (turpmāk – NACE 2. red.) grupa 47.78 "Citur neklasificēta jaunu preču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2. azartspēlēm un derībām (NACE 2.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3. 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4. 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5. 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2</w:t>
      </w:r>
      <w:r w:rsidR="00000000" w:rsidRPr="00000000" w:rsidDel="00000000">
        <w:rPr>
          <w:rtl w:val="0"/>
        </w:rPr>
        <w:t xml:space="preserve">6. atkritumu savākšanai, apstrādei un izvietošanai, materiālu pārstrādei (NACE 2. red. grupa 38.21 "Atkritumu apstrāde un izvietošana (izņemot bīstamos atkritumus)" un grupa 38.22 "Bīstamo atkritumu apstrāde un izvietošana")."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Komercdarbības atbalstu drīkst piešķirt tikai tad, ja atbalstāmās darbības un ar to īstenošanu saistītās finanšu plūsmas tiek skaidri nodalītas no citu darbības nozaru darbībām un finanšu plūsmām, nodrošinot, ka darbības neatbalstāmajās nozarēs negūst labumu no komercdarbības atbalsta šādos gadījumos: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111.1. ja projekta iesniedzējs darbojas kādā no neatbalstāmajām nozarēm saskaņā ar šo noteikumu 45. punktu atbilstoši Komisijas regulas Nr. 2023/2831 1. panta 2. punkta nosacījumiem un šo noteikumu 110.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111.2. ja sadarbības partneris darbojas kādā no neatbalstāmajām nozarēm saskaņā ar šo noteikumu 46. punktu atbilstoši Komisijas regulas Nr. 651/2014 1. panta 3. punkta pēdējās rindkopas nosacījumiem un šo noteikumu 110.</w:t>
      </w:r>
      <w:r w:rsidR="00000000" w:rsidRPr="00000000" w:rsidDel="00000000">
        <w:rPr>
          <w:vertAlign w:val="superscript"/>
          <w:rtl w:val="0"/>
        </w:rPr>
        <w:t xml:space="preserve">2</w:t>
      </w:r>
      <w:r w:rsidR="00000000" w:rsidRPr="00000000" w:rsidDel="00000000">
        <w:rPr>
          <w:rtl w:val="0"/>
        </w:rPr>
        <w:t xml:space="preserve"> .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Pirms komercdarbības atbalsta sniegšanas saskaņā ar Komisijas regulu Nr. 2023/2831 aģentūra pārliecinās, ka finansējuma saņēmējs pēdējo trīs gadu periodā no </w:t>
      </w:r>
      <w:r w:rsidR="00000000" w:rsidRPr="00000000" w:rsidDel="00000000">
        <w:rPr>
          <w:i w:val="1"/>
          <w:rtl w:val="0"/>
        </w:rPr>
        <w:t xml:space="preserve">de minimis</w:t>
      </w:r>
      <w:r w:rsidR="00000000" w:rsidRPr="00000000" w:rsidDel="00000000">
        <w:rPr>
          <w:rtl w:val="0"/>
        </w:rPr>
        <w:t xml:space="preserve"> atbalsta piešķiršanas dienas kopā ar plānoto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nepārsniegs Komisijas regulas Nr. 2023/2831 3. panta 2. punktā noteikto </w:t>
      </w:r>
      <w:r w:rsidR="00000000" w:rsidRPr="00000000" w:rsidDel="00000000">
        <w:rPr>
          <w:i w:val="1"/>
          <w:rtl w:val="0"/>
        </w:rPr>
        <w:t xml:space="preserve">de minimis</w:t>
      </w:r>
      <w:r w:rsidR="00000000" w:rsidRPr="00000000" w:rsidDel="00000000">
        <w:rPr>
          <w:rtl w:val="0"/>
        </w:rPr>
        <w:t xml:space="preserve"> atbalsta ierobežojumu. Finansējuma limits vienam finansējuma saņēmējam tiek vērtēts viena vienota komersanta līmenī atbilstoši Komisijas regulas Nr. 2023/2831 2. panta 2. punktam. Sniedzot atbalstu sadarbības partnerim, ievēro Komisijas regulas Nr. 651/2014 1. panta 2. punkta "c" un "d" apakšpunktā, 4. punkta "a" apakšpunktā un 4. panta 1. punkta "i" apakšpunktā noteiktos ierobežojumus."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Ja tiek pārkāpti Komisijas regulas Nr. 2023/2831 nosacījumi, Atveseļošanas fonda finansējuma saņēmējam ir pienākums atmaksāt aģentūrai projekta ietvaros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Informācijas pieejamība un dokumentu glabāšana tiek nodrošināta šādā veidā: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118.1. finansējuma saņēmējs nodrošina informācijas pieejamību un dokumentu glabāšanu 10 gadus, sākot no dienas, kad ir piešķirts pēdējais komercdarbības atbalsts sadarbības partnerim;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118.2. sadarbības partneris nodrošina informācijas pieejamību un dokumentu glabāšanu 10 gadus, sākot no komercdarbības atbalsta piešķiršanas brīža;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118.3. aģentūra nodrošina informācijas pieejamību un dokumentu glabāšanu 10 gadus, sākot no dienas, kad ir piešķirts pēdējais komercdarbības atbalsts saskaņā ar komercdarbības atbalsta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118.4. nozares ministrija nodrošina informācijas pieejamību un dokumentu glabāšanu 10 gadus, sākot no dienas, kad piešķirts pēdējais komercdarbības atbalsts saskaņā ar komercdarbības atbalsta programmu."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24-TA-204</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24-TA-204</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noteikumu_(grozījumu)_projekts_24-TA-204.docx</dc:title>
</cp:coreProperties>
</file>

<file path=docProps/custom.xml><?xml version="1.0" encoding="utf-8"?>
<Properties xmlns="http://schemas.openxmlformats.org/officeDocument/2006/custom-properties" xmlns:vt="http://schemas.openxmlformats.org/officeDocument/2006/docPropsVTypes"/>
</file>