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aprīlī (prot. Nr. 22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akciju sabiedrībai "Augstsprieguma tīkls" līdzdalības iegūšanai ''Baltic RCC OÜ''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w:t>
      </w:r>
      <w:r w:rsidR="00000000" w:rsidRPr="00000000" w:rsidDel="00000000">
        <w:rPr>
          <w:rtl w:val="0"/>
        </w:rPr>
        <w:t xml:space="preserve">Publiskas personas kapitāla daļu un kapitālsabiedrību pārvaldības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otrās daļas 2. punktu, trešo daļu, </w:t>
      </w:r>
      <w:r w:rsidR="00000000" w:rsidRPr="00000000" w:rsidDel="00000000">
        <w:rPr>
          <w:rtl w:val="0"/>
        </w:rPr>
        <w:t xml:space="preserve">5. panta</w:t>
      </w:r>
      <w:r w:rsidR="00000000" w:rsidRPr="00000000" w:rsidDel="00000000">
        <w:rPr>
          <w:rtl w:val="0"/>
        </w:rPr>
        <w:t xml:space="preserve"> otro un ceturto daļu atļaut akciju sabiedrībai "Augstsprieguma tīkls" (vienotais reģistrācijas numurs  40003575567) iegūt līdzdalību jaundibināmajā sabiedrībā ar ierobežotu atbildību "Baltic RCC OÜ" 33,33% apmērā, ņemot vērā, ka jaundibināmās sabiedrības ar ierobežotu atbildību "Baltic RCC OÜ" vispārējais stratēģiskais mērķis ir nodrošināt koordinētu, stabilu un drošu Baltijas elektroenerģijas pārvades sistēmu darbību, sekmēt elektroenerģijas tirgus attīstību, ilgtspējīgu un rentablu elektroenerģijas pārvadi reģionā un Eiropā.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22-TA-827</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22-TA-827</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rīkojuma_projekts_22-TA-827.docx</dc:title>
</cp:coreProperties>
</file>

<file path=docProps/custom.xml><?xml version="1.0" encoding="utf-8"?>
<Properties xmlns="http://schemas.openxmlformats.org/officeDocument/2006/custom-properties" xmlns:vt="http://schemas.openxmlformats.org/officeDocument/2006/docPropsVTypes"/>
</file>