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Lauksaimniecības un lauku attīstības likuma 5.panta ceturto daļu</w:t>
      </w:r>
      <w:r>
        <w:br/>
      </w:r>
      <w:r>
        <w:br/>
      </w:r>
      <w:r>
        <w:br/>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 (Latvijas Vēstnesis, 2017, 92., 249. nr.; 2018, 43., 187. nr.; 2021, 122.)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produktīvās investīcijas – tieši ar projekta mērķi saistīti ieguldījumi materiālajos aktīvos (piemēram, tehnikā, iekārtās un to aprīkojumā), kas pēc projekta īstenošanas var tikt izmantoti saimnieciskajā darbībā un kas tieši nodrošina peļņas gūšanu vai produktu ražošanas procesus;".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5.9.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lauksaimnieks - juridiska vai fiziska persona, kas ražojusi lauksaimniecības produktus un guvusi ieņēmumus no lauksaimniecības produktu pārdošanas pēdējā noslēgtajā gadā;".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51. punktā vārdus "komisijai klātienē" ar vārdu "publiski".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noteikumus ar 54.1.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"54.1.</w:t>
      </w:r>
      <w:r w:rsidR="00000000" w:rsidRPr="00000000" w:rsidDel="00000000">
        <w:rPr>
          <w:vertAlign w:val="superscript"/>
          <w:rtl w:val="0"/>
        </w:rPr>
        <w:t xml:space="preserve">1 </w:t>
      </w:r>
      <w:r w:rsidR="00000000" w:rsidRPr="00000000" w:rsidDel="00000000">
        <w:rPr>
          <w:rtl w:val="0"/>
        </w:rPr>
        <w:t xml:space="preserve">vadošais partneris ir primārais ražotājs lauksaimniecības vai mežsaimniecības nozarē, vai lauksaimniecības produktu pārstrādātājs;".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59.1. apakšpunktā  tekstu "vai papīra formā divos eksemplāros, pievienojot tā kopiju, kas elektroniskā veidā ierakstīta ārējā datu nesējā. Lauku atbalsta dienests vienu projekta iesnieguma papīra eksemplāru kopā ar apliecinājumu par projekta reģistrēšanu atdod pretendentam.".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65. un 66.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Atbalsta intensitāte ir 90 procentu no attiecināmajām izmaksām 16.1.apakšpasākumā un 70 procenti no attiecināmajām izmaksām 16.2.apakšpasākumā.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Produktīvajām investīcijām atbalsta intensitāte ir ne vairāk kā 30 procenti no attiecināmajām izmaksām.".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Pēdējo maksājumu atbalsta saņēmējs saņem pēc projekta iesniegumā paredzēto ieguldījumu īstenošanas, projekta rezultātu publiskošanas saskaņā ar šo noteikumu 9.punktu un maksājuma pieprasījuma iesniegšanas Lauku atbalsta dienestā. Pēdējo maksājumu pieprasījumu iesniedz kopā ar gala pārskatu par projekta īstenošanas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75. punkta ievaddaļu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Projektā nodarbinātā personāla atalgojuma likmes nosaka samērīgi, ņemot vērā darba apjomu, specifiku un attiecīgā speciālista darba algas stundas likmi darba tirgū  vai Centrālās statistikas pārvaldes datus par vidējām atalgojuma likmēm Latvijā pētniecības un attīstības projektos nodarbinātajiem. Atalgojuma likmes neskaitot darba devēja valsts sociālās apdrošināšanas obligātās iemaksas,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77.10.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"77.10. izmaksas, kas saistītas ar tādu iekārtu, iekārtu daļu vai programmatūru aizstāšanu ar jaunām iekārtām, iekārtu daļā vai programmatūrām, kuru parametri salīdzinājumā ar esošajām neatšķiras un kuras nenodrošina izmaiņas produktā vai tehnoloģiskajā procesā ar racionalizāciju, modernizāciju vai diversifikāciju;".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noteikumus ar 77.11.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"77.11. izmaksas, kas saistītas ar ikdienas saimnieciskās darbības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Aizstāt 79., 80., 81., 82. punktā ciparu "74.8" ar ciparu "74.2.4.".</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22-TA-1213</w:t>
    </w:r>
    <w:r>
      <w:br/>
    </w:r>
    <w:r w:rsidR="00000000" w:rsidRPr="00000000" w:rsidDel="00000000">
      <w:rPr>
        <w:rtl w:val="0"/>
      </w:rPr>
      <w:t xml:space="preserve">Izdrukāts 29.07.2026. 23.10 - 2.0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22-TA-1213</w:t>
    </w:r>
    <w:r>
      <w:br/>
    </w:r>
    <w:r w:rsidR="00000000" w:rsidRPr="00000000" w:rsidDel="00000000">
      <w:rPr>
        <w:rtl w:val="0"/>
      </w:rPr>
      <w:t xml:space="preserve">Izdrukāts 29.07.2026. 23.10 - 2.0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noteikumu_(grozījumu)_projekts_22-TA-1213.docx</dc:title>
</cp:coreProperties>
</file>

<file path=docProps/custom.xml><?xml version="1.0" encoding="utf-8"?>
<Properties xmlns="http://schemas.openxmlformats.org/officeDocument/2006/custom-properties" xmlns:vt="http://schemas.openxmlformats.org/officeDocument/2006/docPropsVTypes"/>
</file>