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Noziedzīgi iegūtu līdzekļu legalizācijas un terorisma un proliferācijas finansēšanas novēršanas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Noziedzīgi iegūtu līdzekļu legalizācijas un terorisma un proliferācijas finansēšanas novēršanas likumā (Latvijas Republikas Saeimas un Ministru Kabineta Ziņotājs, 2008, 16. nr.; 2009, 2. nr.; Latvijas Vēstnesis, 2009, 196., 205. nr.; 2011, 60. nr.; 2012, 100. nr.; 2013, 187., 227. nr.; 2014, 172., 257. nr.; 2015, 124. nr.; 2016, 31., 115. nr.; 2017, 132., 222. nr.; 2018, 89., 220. nr.; 2019, 129. nr.; 2021, 121.B, 193. nr.; 2022, 207. nr.; 2023, 231. nr.; 2024, 196.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 punkta "e" apakšpunktu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"e) valūtu tirdzniecības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 punkta ievaddaļu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juridiska veidojuma vai juridiskas personas dibināšanas un darbības nodrošināšanas pakalpojumu sniedzējs</w:t>
      </w:r>
      <w:r w:rsidR="00000000" w:rsidRPr="00000000" w:rsidDel="00000000">
        <w:rPr>
          <w:rtl w:val="0"/>
        </w:rPr>
        <w:t xml:space="preserve"> – cita fiziskā vai juridiskā persona, kas nav minēta šā likuma 3. panta pirmās daļas 4. punkta "d" apakšpunktā un kurai ir darījuma attiecības ar klientu, un kura sniedz šādus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20. un 21.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 </w:t>
      </w:r>
      <w:r w:rsidR="00000000" w:rsidRPr="00000000" w:rsidDel="00000000">
        <w:rPr>
          <w:b w:val="1"/>
          <w:rtl w:val="0"/>
        </w:rPr>
        <w:t xml:space="preserve">kriptoaktīvs</w:t>
      </w:r>
      <w:r w:rsidR="00000000" w:rsidRPr="00000000" w:rsidDel="00000000">
        <w:rPr>
          <w:rtl w:val="0"/>
        </w:rPr>
        <w:t xml:space="preserve"> – kriptoaktīvs Eiropas Parlamenta un Padomes 2023. gada 31. maija regulas (ES) 2023/1114 par kriptoaktīvu tirgiem un ar ko groza regulas (ES) Nr. 1093/2010 un (ES) Nr. 1095/2010 un direktīvas 2013/36/ES un (ES) 2019/1937 (turpmāk – Regula Nr. 2023/1114), 3. panta 1. punkta 5. apakšpunkta izpratnē, izņemot gadījumu, ja tas ietilpst Regulas Nr. 2023/1114 2. panta 2., 3. un 4. punktā minētajās kategorijās vai kvalificējams kā naudas līdzekļi;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w:t>
      </w:r>
      <w:r w:rsidR="00000000" w:rsidRPr="00000000" w:rsidDel="00000000">
        <w:rPr>
          <w:b w:val="1"/>
          <w:rtl w:val="0"/>
        </w:rPr>
        <w:t xml:space="preserve">kriptoaktīvu pakalpojumu sniedzējs</w:t>
      </w:r>
      <w:r w:rsidR="00000000" w:rsidRPr="00000000" w:rsidDel="00000000">
        <w:rPr>
          <w:rtl w:val="0"/>
        </w:rPr>
        <w:t xml:space="preserve"> – kriptoaktīvu pakalpojumu sniedzējs Regulas Nr. 2023/1114 3. panta 1. punkta 15. apakšpunkta izpratnē, izņemot gadījumu, ja tas sniedz tikai Regulas Nr. 2023/1114 3. panta 1. punkta 16. apakšpunkta "h" apakšpunktā minēto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5.</w:t>
      </w:r>
      <w:r w:rsidR="00000000" w:rsidRPr="00000000" w:rsidDel="00000000">
        <w:rPr>
          <w:vertAlign w:val="superscript"/>
          <w:rtl w:val="0"/>
        </w:rPr>
        <w:t xml:space="preserve">1</w:t>
      </w:r>
      <w:r w:rsidR="00000000" w:rsidRPr="00000000" w:rsidDel="00000000">
        <w:rPr>
          <w:rtl w:val="0"/>
        </w:rPr>
        <w:t xml:space="preserve">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Ministru kabinets nosaka kārtību, kādā likuma subjekti šajā likumā noteikto pienākumu izpildei pieprasa un saņem un šā panta otrajā daļā minēto reģistru un Nederīgo dokumentu reģistra valsts informācijas sistēmu pārziņi izsniedz ziņas, izmantojot Datu izplatīšanas un pārvaldības platformu, kā arī saņemamās informācijas apjomu un glabāšanas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7. panta trešajā daļā vārdus "kapitālsabiedrības, kas nodarbojas ar ārvalstu valūtas skaidras naudas pirkšanu un pārdošanu" ar vārdiem "valūtu tirdzniecības sabiedrības".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10. panta otro daļu pēc vārda "sabiedrības" ar vārdiem "un kriptoaktīvu pakalpojumu sniedzēji".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11. panta pirmās daļas 2. punkta "c" apakšpunktu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"c) tiek veikts valūtu tirdzniecības darījums, kura apmērs vai vairāku šķietami saistītu darījumu kopējā summa pārsniedz 1500 </w:t>
      </w:r>
      <w:r w:rsidR="00000000" w:rsidRPr="00000000" w:rsidDel="00000000">
        <w:rPr>
          <w:i w:val="1"/>
          <w:rtl w:val="0"/>
        </w:rPr>
        <w:t xml:space="preserve">euro</w:t>
      </w:r>
      <w:r w:rsidR="00000000" w:rsidRPr="00000000" w:rsidDel="00000000">
        <w:rPr>
          <w:rtl w:val="0"/>
        </w:rPr>
        <w:t xml:space="preserve"> vai mazāku summu, kuru noteicis likuma subjekts, pamatojoties uz tā darbībai piemītošo risku novērtējumu,".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17.</w:t>
      </w:r>
      <w:r w:rsidR="00000000" w:rsidRPr="00000000" w:rsidDel="00000000">
        <w:rPr>
          <w:vertAlign w:val="superscript"/>
          <w:rtl w:val="0"/>
        </w:rPr>
        <w:t xml:space="preserve">2</w:t>
      </w:r>
      <w:r w:rsidR="00000000" w:rsidRPr="00000000" w:rsidDel="00000000">
        <w:rPr>
          <w:rtl w:val="0"/>
        </w:rPr>
        <w:t xml:space="preserve"> panta trešās daļas 4. punktā vārdu "apiešanā" ar vārdu "pārkāpšanā".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18.</w:t>
      </w:r>
      <w:r w:rsidR="00000000" w:rsidRPr="00000000" w:rsidDel="00000000">
        <w:rPr>
          <w:vertAlign w:val="superscript"/>
          <w:rtl w:val="0"/>
        </w:rPr>
        <w:t xml:space="preserve">3</w:t>
      </w:r>
      <w:r w:rsidR="00000000" w:rsidRPr="00000000" w:rsidDel="00000000">
        <w:rPr>
          <w:rtl w:val="0"/>
        </w:rPr>
        <w:t xml:space="preserve"> panta pirmo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Lai nodrošinātu starptautisko un nacionālo sankciju izpildei nepieciešamās informācijas pieejamību, ikvienai personai ir tiesības tūlītēji, nefiltrēti, tieši un brīvi saņemt informāciju par patiesajiem labuma guvējiem no Valsts ieņēmumu dienesta un tiešsaistes formā – no Latvijas Republikas Uzņēmumu reģistra. Attiecīgo informāciju sniedz Latvijas Republikas Uzņēmumu reģistra un Valsts ieņēmumu dienesta darbību regulējošos normatīvajos aktos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Izslēgt 25.</w:t>
      </w:r>
      <w:r w:rsidR="00000000" w:rsidRPr="00000000" w:rsidDel="00000000">
        <w:rPr>
          <w:vertAlign w:val="superscript"/>
          <w:rtl w:val="0"/>
        </w:rPr>
        <w:t xml:space="preserve">2</w:t>
      </w:r>
      <w:r w:rsidR="00000000" w:rsidRPr="00000000" w:rsidDel="00000000">
        <w:rPr>
          <w:rtl w:val="0"/>
        </w:rPr>
        <w:t xml:space="preserve"> panta 4. punktā vārdus "vai apiešanas".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31.</w:t>
      </w:r>
      <w:r w:rsidR="00000000" w:rsidRPr="00000000" w:rsidDel="00000000">
        <w:rPr>
          <w:vertAlign w:val="superscript"/>
          <w:rtl w:val="0"/>
        </w:rPr>
        <w:t xml:space="preserve">6</w:t>
      </w:r>
      <w:r w:rsidR="00000000" w:rsidRPr="00000000" w:rsidDel="00000000">
        <w:rPr>
          <w:rtl w:val="0"/>
        </w:rPr>
        <w:t xml:space="preserve"> panta trešās daļas 4.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gadījumus, kārtību un apjomu, kādā Finanšu izlūkošanas dienests nosūta ziņojumus par aizdomīgiem darījumiem un sliekšņa deklarācijas."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5.</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septītās daļas otro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Izslēgt 39.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Aizstāt 45. panta pirmās daļas 1. punktā vārdus "kapitālsabiedrības, kas nodarbojas ar ārvalstu valūtas skaidras naudas pirkšanu un pārdošanu" ar vārdiem "valūtu tirdzniecības sabiedrības".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51.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analizēt sniegto ziņojumu kvalitāti un izmantošanas efektivitāti un, ja tas ir iespējams, neapdraudot kriminālprocesa, valsts vai sabiedrības intereses, informēt par to likuma subjektus un uzraudzības un kontroles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18. punktu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 normatīvajos aktos noteiktajā kārtībā nosūtīt ziņojumus par aizdomīgiem darījumiem vai sliekšņa deklarācijas."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Aizstāt X nodaļas nosaukumā vārdus "pašvaldību iestādēm" ar vārdiem "pašvaldību institūcijām, likuma subjektiem".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54. pantā: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papildināt ar jaunu otro teikumu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un pašvaldību institūcijas informāciju sniedz rakstiski, tiešsaistē vai automatizētas un regulāras datu apmaiņas veidā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otro teikumu par trešo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55.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un trešo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Finanšu izlūkošanas dienests koordinē operatīvās darbības subjektu, izmeklēšanas iestāžu, prokuratūras, Valsts ieņēmumu dienesta, uzraudzības un kontroles institūciju un citu institūciju (turpmāk – pārstāvētās institūcijas), kā arī likuma subjektu sadarbību. Sadarbību koordinē, sasaucot sadarbības koordinācijas grupu. Sadarbības koordinācijas grupu sasauc Finanšu izlūkošanas dienests pēc savas iniciatīvas vai tad, ja to ierosina vismaz viena no pārstāvētajām institūcijām (šādā gadījumā Finanšu izlūkošanas dienests izvērtē ierosinājuma pamatotību).</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Sadarbības mērķis ir veicināt pārstāvētajām institūcijām un likuma subjektiem šajā likumā un citos normatīvajos aktos noteikto uzdevumu efektīvu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pirmajā teikumā un piektajā daļā vārdus "iesaistītās institūcijas, likuma subjekti un uzraudzības un kontroles institūcijas" ar vārdiem "pārstāvētās institūcijas un likuma subjekti" un vārdu "tiesīgas" ar vārdu "tiesīgi".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pārejas noteikumus ar 75. punktu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"75. Grozījumi šā likuma 54. pantā stājas spēkā 2027. gada 10. jūlijā."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informatīvo atsauci uz Eiropas Savienības direktīvām ar 9. punktu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  Eiropas Parlamenta un Padomes 2024. gada 31. maija direktīvas (ES) 2024/1640 par mehānismiem, kas dalībvalstīm jāievieš, lai nepieļautu finanšu sistēmas izmantošanu nelikumīgi iegūtu līdzekļu legalizēšanai vai teroristu finansēšanai, un ar ko groza direktīvu (ES) 2019/1937 un ar ko groza un atceļ direktīvu (ES) 2015/849."</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25-TA-195</w:t>
    </w:r>
    <w:r>
      <w:br/>
    </w:r>
    <w:r w:rsidR="00000000" w:rsidRPr="00000000" w:rsidDel="00000000">
      <w:rPr>
        <w:rtl w:val="0"/>
      </w:rPr>
      <w:t xml:space="preserve">Izdrukāts 29.07.2026. 21.16 - 1.0.VK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25-TA-195</w:t>
    </w:r>
    <w:r>
      <w:br/>
    </w:r>
    <w:r w:rsidR="00000000" w:rsidRPr="00000000" w:rsidDel="00000000">
      <w:rPr>
        <w:rtl w:val="0"/>
      </w:rPr>
      <w:t xml:space="preserve">Izdrukāts 29.07.2026. 21.16 - 1.0.VK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likumprojekts_(grozījumi)_25-TA-195.docx</dc:title>
</cp:coreProperties>
</file>

<file path=docProps/custom.xml><?xml version="1.0" encoding="utf-8"?>
<Properties xmlns="http://schemas.openxmlformats.org/officeDocument/2006/custom-properties" xmlns:vt="http://schemas.openxmlformats.org/officeDocument/2006/docPropsVTypes"/>
</file>