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akciju sabiedrības "Latvijas dzelzceļš" vispārējo stratēģisko mērķi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Publiskas personas kapitāla daļu un kapitālsabiedrību pārvaldības likuma</w:t>
      </w:r>
      <w:r w:rsidR="00000000" w:rsidRPr="00000000" w:rsidDel="00000000">
        <w:rPr>
          <w:rtl w:val="0"/>
        </w:rPr>
        <w:t xml:space="preserve"> 1. panta pirmās daļas 18. punktu un 7. panta trešo daļu, noteikt valsts akciju sabiedrības "Latvijas dzelzceļš" vispārējo stratēģisko mērķi – nodrošināt efektīvu, drošu un ilgtspējīgu dzelzceļa infrastruktūras pārvaldīšanu, tai skaitā sniedzot konkurētspējīgus loģistikas, dzelzceļa ritošā sastāva remonta un apkopes, kā arī stratēģiski svarīgu objektu apsardzes pakalpojumus un sekmējot videi draudzīgu dzelzceļa pārvadājumu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2021. gada 16. jūnija rīkojumu Nr. 421 "Par valsts akciju sabiedrības "Latvijas dzelzceļš" vispārējo stratēģisko mērķi"</w:t>
      </w:r>
      <w:r w:rsidR="00000000" w:rsidRPr="00000000" w:rsidDel="00000000">
        <w:rPr>
          <w:rtl w:val="0"/>
        </w:rPr>
        <w:t xml:space="preserve"> (Latvijas Vēstnesis, 2021, 116.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25-TA-2916</w:t>
    </w:r>
    <w:r>
      <w:br/>
    </w:r>
    <w:r w:rsidR="00000000" w:rsidRPr="00000000" w:rsidDel="00000000">
      <w:rPr>
        <w:rtl w:val="0"/>
      </w:rPr>
      <w:t xml:space="preserve">Izdrukāts 29.07.2026. 21.16 - 1.0.VK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25-TA-2916</w:t>
    </w:r>
    <w:r>
      <w:br/>
    </w:r>
    <w:r w:rsidR="00000000" w:rsidRPr="00000000" w:rsidDel="00000000">
      <w:rPr>
        <w:rtl w:val="0"/>
      </w:rPr>
      <w:t xml:space="preserve">Izdrukāts 29.07.2026. 21.16 - 1.0.VK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rīkojuma_projekts_25-TA-2916.docx</dc:title>
</cp:coreProperties>
</file>

<file path=docProps/custom.xml><?xml version="1.0" encoding="utf-8"?>
<Properties xmlns="http://schemas.openxmlformats.org/officeDocument/2006/custom-properties" xmlns:vt="http://schemas.openxmlformats.org/officeDocument/2006/docPropsVTypes"/>
</file>