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īsteno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tādēļ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Izdevumus, kas saistīti ar izglītības programmas īstenošanu sociālās korekcijas izglītības iestādē, sedz no valsts budžeta līdzekļiem, kas šim mērķim piešķirti saskaņā ar valsts budžeta likumu kārtējam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noteikumu_konsolidētā_versija_p13_24-TA-1512.docx</dc:title>
</cp:coreProperties>
</file>

<file path=docProps/custom.xml><?xml version="1.0" encoding="utf-8"?>
<Properties xmlns="http://schemas.openxmlformats.org/officeDocument/2006/custom-properties" xmlns:vt="http://schemas.openxmlformats.org/officeDocument/2006/docPropsVTypes"/>
</file>