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"fiziskā" ar vārdiem "vai juridiskā";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iesniedzēja vārds, uzvārds, personas kods (fiziskai personai) vai nosaukums un reģistrācijas numurs (juridiskai personai), kontaktinformācija, kredītiestādes maksājuma vai pasta norēķinu sistēmas konts, kurā ieskaitāma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3. punktu pēc vārda "fiziskās" ar vārdiem "vai juridiskās".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Grozījums šā likuma 12. panta pirmajā daļā par pārtikas nodrošināšanu Ukrainas civiliedzīvotājiem līdz 30 dienām piemērojams no 2022. gada 25. maija un neattiecas uz tiem Ukrainas civiliedzīvotājiem, kuri primāri sniedzamajam atbalstam – pārtikas nodrošināšanai – pieteikušies līdz 2022. gada 24. maijam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15.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 Ukrainas civiliedzīvotājiem, kuri primāri sniedzamajam atbalstam ir pieteikušies līdz 2022. gada 24. maijam (ieskaitot), valsts to nodrošina papildus līdz 30 dienām, taču kopējais valsts nodrošinātais primāri sniedzamais atbalsts nevar pārsniegt 120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 ekonomikas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22-TA-1693</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22-TA-1693</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likumprojekts_(grozījumi)_22-TA-1693.docx</dc:title>
</cp:coreProperties>
</file>

<file path=docProps/custom.xml><?xml version="1.0" encoding="utf-8"?>
<Properties xmlns="http://schemas.openxmlformats.org/officeDocument/2006/custom-properties" xmlns:vt="http://schemas.openxmlformats.org/officeDocument/2006/docPropsVTypes"/>
</file>