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13. janvārī (prot. Nr. 1 33.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2024. gada 21. maija noteikumos Nr. 303 "Valsts un Eiropas Savienības atbalsta piešķiršanas kārtība atklātu projektu konkursa veidā Eiropas lauksaimniecības fonda lauku attīstībai investīcijām materiālajos aktīvos 2023.–2027. gada plānošanas periodā"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2024. gada 21. maija noteikumos Nr. 303 "Valsts un Eiropas Savienības atbalsta piešķiršanas kārtība atklātu projektu konkursa veidā Eiropas lauksaimniecības fonda lauku attīstībai investīcijām materiālajos aktīvos 2023.–2027. gada plānošanas periodā" (Latvijas Vēstnesis, 2024, 98. nr.; 2025, 126.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12.2.1.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"12.2.1. jaunu būvju būvniecību un esošo būvju pārbūvi, kā arī būvmateriālu iegādi;".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Uz šo noteikumu 12.3. apakšpunktā minētajiem ieguldījumiem, lai aizsargātu lauksaimniecības dzīvniekus pret lielajiem plēsējiem, var pretendēt arī tāda saimniecība, kas saskaņā ar šiem noteikumiem uzskatāma par lielu saimniecību."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 izmaksas par ražas novākšanas tehnikas (izņemot graudkopībā izmantojamo ražas novākšanas tehniku), kravu celšanas un kraušanas tehnikas iegādi, kā arī kravas automašīnu, piekabju, puspiekabju un tādu produkcijas pārvadāšanai paredzētu specializēto transportlīdzekļu iegādi, kuri ir konstruktīvi un rūpnieciski ražoti speciālas nozīmes kravu pārvadāšanai vai specifisku darbu izpildei un uz kuriem uzstādītas šo funkciju veikšanai paredzētās iekārtas, – ne vairāk kā divas vienības no katras minētās pozīcijas plānošanas periodā. Minētais nosacījums neattiecas uz dārzkopības nozares kooperatīvajām sabiedrībām. Konvencionālās piena nozares un laukkopības nozares kooperatīvās sabiedrības ieguldījumi ir atbalstāmi, ja tajā projekta iesnieguma iesniegšanas brīdī ir vairāk nekā 60 biedru."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26.16.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"26.16. drenu skalotāju, grāvju un joslu pļaujmašīnu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26.17.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"26.17. lopbarības sagatavošanas tehnikas (izņemot pašgājējtehniku) izmaksas, ja atbalsta pretendents ievēro šo noteikumu 24.2. apakšpunkta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26.18.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"26.18. būvniecības, pārbūves vai būvmateriālu izmaksas mēslošanas līdzekļu un citu resursu uzglabāšanas vietu izveidei, lai nodrošinātu efektīvu resursu apsaimniekošanu un samazinātu mēslošanas līdzekļu lietojumu."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Projektā var iekļaut dzīvnieku novietnes būvniecības vai pārbūves izmaksas, kas nav minētas šo noteikumu 26. punktā, ja tās ir saistītas ar projekta mērķi un nepārsniedz 30 procentu no projektā paredzētajām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"37. Par attiecināmām izmaksām šajā intervencē ir uzskatāmas arī tieši ar lauksaimniecības dzīvnieku labturības uzlabošanu nesaistītas izmaksas, ja tās ir saistītas ar projekta mērķi un nepārsniedz 30 procentu no projektā paredzētajām izmaksām."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81.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"81. Lauku atbalsta dienests nodrošina regulas (ES) Nr. 651/2014 9. panta 1. un 4. punktā noteikto publicitātes pasākumu īstenošanu atbilstoši normatīvajiem aktiem par kārtību, kādā publicē informāciju par sniegto komercdarbības atbalstu. Atbilstoši regulas (ES) Nr. 651/2014 12. pantam Lauku atbalsta dienests vismaz 10 gadus, sākot no dienas, kad piešķirts pēdējais atbalsts saskaņā ar šiem noteikumiem, uztur detalizētu dokumentāciju ar informāciju un apliecinošajiem dokumentiem, savukārt atbalsta saņēmējs nodrošina ar projektu saistīto dokumentu pieejamību vismaz 10 gadus no atbalsta piešķiršanas brīža."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90.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 Lēmumu par projekta iesnieguma apstiprināšanu pieņem līdz regulas (ES) Nr. 651/2014 59. pantā noteiktajam termiņam, ievērojot regulas (ES) Nr. 651/2014 58. panta 4.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107.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 Maksimālais attiecināmo izmaksu apmērs vienam atbalsta pretendentam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107.1. 250 000 </w:t>
      </w:r>
      <w:r w:rsidR="00000000" w:rsidRPr="00000000" w:rsidDel="00000000">
        <w:rPr>
          <w:i w:val="1"/>
          <w:rtl w:val="0"/>
        </w:rPr>
        <w:t xml:space="preserve">euro</w:t>
      </w:r>
      <w:r w:rsidR="00000000" w:rsidRPr="00000000" w:rsidDel="00000000">
        <w:rPr>
          <w:rtl w:val="0"/>
        </w:rPr>
        <w:t xml:space="preserve"> mazo saimniecību grupā – šo noteikumu 1.1., 1.2., 1.3. un 1.4. apakšpunktā minētajās intervencēs kopā;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107.2. 500 000 </w:t>
      </w:r>
      <w:r w:rsidR="00000000" w:rsidRPr="00000000" w:rsidDel="00000000">
        <w:rPr>
          <w:i w:val="1"/>
          <w:rtl w:val="0"/>
        </w:rPr>
        <w:t xml:space="preserve">euro </w:t>
      </w:r>
      <w:r w:rsidR="00000000" w:rsidRPr="00000000" w:rsidDel="00000000">
        <w:rPr>
          <w:rtl w:val="0"/>
        </w:rPr>
        <w:t xml:space="preserve">vidējo saimniecību grupā – šo noteikumu 1.1., 1.2., 1.3. un 1.4. apakšpunktā minētajās intervencēs kopā;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107.3. 700 000 </w:t>
      </w:r>
      <w:r w:rsidR="00000000" w:rsidRPr="00000000" w:rsidDel="00000000">
        <w:rPr>
          <w:i w:val="1"/>
          <w:rtl w:val="0"/>
        </w:rPr>
        <w:t xml:space="preserve">euro</w:t>
      </w:r>
      <w:r w:rsidR="00000000" w:rsidRPr="00000000" w:rsidDel="00000000">
        <w:rPr>
          <w:rtl w:val="0"/>
        </w:rPr>
        <w:t xml:space="preserve"> lielo saimniecību grupā – šo noteikumu 1.2., 1.3. un 1.4. apakšpunktā minētajās intervencēs kopā</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108.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108.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vertAlign w:val="superscript"/>
          <w:rtl w:val="0"/>
        </w:rPr>
        <w:t xml:space="preserve">1</w:t>
      </w:r>
      <w:r w:rsidR="00000000" w:rsidRPr="00000000" w:rsidDel="00000000">
        <w:rPr>
          <w:rtl w:val="0"/>
        </w:rPr>
        <w:t xml:space="preserve"> Šo noteikumu 107. punktā minēto maksimālo attiecināmo izmaksu apmēru nepiemēro, ja atbalsta pretendents paredz ieguldījumus biodrošībā šo noteikumu 1.3. apakšpunktā minētajā intervencē."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109.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 Atbalsta pretendentam (izņemot lauku saimniecību, kas ražo primāros lauksaimniecības produktus graudkopības nozarē) maksimālās attiecināmās izmaksas var būt līdz 750 000 </w:t>
      </w:r>
      <w:r w:rsidR="00000000" w:rsidRPr="00000000" w:rsidDel="00000000">
        <w:rPr>
          <w:i w:val="1"/>
          <w:rtl w:val="0"/>
        </w:rPr>
        <w:t xml:space="preserve">euro</w:t>
      </w:r>
      <w:r w:rsidR="00000000" w:rsidRPr="00000000" w:rsidDel="00000000">
        <w:rPr>
          <w:rtl w:val="0"/>
        </w:rPr>
        <w:t xml:space="preserve">, ja tas, izmantojot daudzgadu konsultāciju pakalpojumus lauksaimniecības nozarē uzņēmējdarbības attīstībai un konkurētspējas veicināšanai, ir sagatavojis saimniecības ilgtermiņa attīstības plānu, paredzot ieguldījumus saimnieciskās darbības attīstībai, un kopā ar projekta iesniegumu iesniedz apliecinājumu par finanšu resursu pieejamību projekta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117.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"117. Lauku atbalsta dienests nosaka atbalsta pretendenta saistītās personas (tostarp vienu vienotu uzņēmumu) atbilstoši normatīvajiem aktiem par valsts un Eiropas Savienības atbalsta piešķiršanas, administrēšanas un uzraudzības vispārējo kārtību lauku un zivsaimniecības attīstībai un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25-TA-2554</w:t>
    </w:r>
    <w:r>
      <w:br/>
    </w:r>
    <w:r w:rsidR="00000000" w:rsidRPr="00000000" w:rsidDel="00000000">
      <w:rPr>
        <w:rtl w:val="0"/>
      </w:rPr>
      <w:t xml:space="preserve">Izdrukāts 29.07.2026. 22.39 - 2.0.VK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25-TA-2554</w:t>
    </w:r>
    <w:r>
      <w:br/>
    </w:r>
    <w:r w:rsidR="00000000" w:rsidRPr="00000000" w:rsidDel="00000000">
      <w:rPr>
        <w:rtl w:val="0"/>
      </w:rPr>
      <w:t xml:space="preserve">Izdrukāts 29.07.2026. 22.39 - 2.0.VK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noteikumu_(grozījumu)_projekts_25-TA-2554.docx</dc:title>
</cp:coreProperties>
</file>

<file path=docProps/custom.xml><?xml version="1.0" encoding="utf-8"?>
<Properties xmlns="http://schemas.openxmlformats.org/officeDocument/2006/custom-properties" xmlns:vt="http://schemas.openxmlformats.org/officeDocument/2006/docPropsVTypes"/>
</file>