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306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jūnijā (prot. Nr. 32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ieguldījumiem mazajās lauku saimniecībās" 2023.–2027. gadam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intervencē "Atbalsts ieguldījumiem mazajās lauku saimniecībās" (turpmāk – atbalsts)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atbalstīt mazo lauku saimniecību attīstību, lai veicinātu to konkurētspēju, palielinot to ražošanas produktivitāti un efektivitāti.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lauksaimniecības produkti ietver Līguma par Eiropas Savienības darbību I pielikumā minētos lauksaimniecības produktus, izņemot zivsaimniecības produktus, mājas (istabas) dzīvniekus, kā arī dzīvniekus, uz kuriem neattiecas </w:t>
      </w:r>
      <w:r w:rsidR="00000000" w:rsidRPr="00000000" w:rsidDel="00000000">
        <w:rPr>
          <w:rtl w:val="0"/>
        </w:rPr>
        <w:t xml:space="preserve">Dzīvnieku audzēšanas un ciltsdarba likums</w:t>
      </w:r>
      <w:r w:rsidR="00000000" w:rsidRPr="00000000" w:rsidDel="00000000">
        <w:rPr>
          <w:rtl w:val="0"/>
        </w:rPr>
        <w:t xml:space="preserve">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piešķiršanas, administrēšanas un uzraudzības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un lauksaimniecības zemes platību saimniecībās ar lauksaimniecības zemi līdz 100 hektāriem.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īstenošanas vieta ir Latvijas lauku teritorija, izņemot valstspilsētas un pilsētas, kurās ir vairāk nekā 5000 iedzīvotāju. Iedzīvotāju skaitu nosaka saskaņā ar Centrālās statistikas pārvaldes datiem par iedzīvotāju skaitu Latvijas administratīvajās teritorijās atbilstoši jaunākajiem valsts statistiskajiem novērojumiem.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saimnieciskās darbības veicējs – mazā lauku saimniecība – fiziska persona, kuras dzīvesvieta ir deklarēta lauku teritorijā, vai juridiska persona, kuras juridiskā adrese ir lauku teritorijā. Projekta iesniegumā norādītā deklarētās dzīvesvietas adrese netiek mainīta visu projekta īstenošanas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izpratnē par saimnieciskās darbības uzsācēju uzskata atbalsta pretendentu, kurš ir reģistrēts Uzņēmumu reģistrā vai kura saimnieciskā darbība ir reģistrēta Valsts ieņēmumu dienestā un kuram nav deklarēti ieņēmumi no lauksaimnieciskās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iesniegšanas – ne vairāk kā 15 000 </w:t>
      </w:r>
      <w:r w:rsidR="00000000" w:rsidRPr="00000000" w:rsidDel="00000000">
        <w:rPr>
          <w:i w:val="1"/>
          <w:rtl w:val="0"/>
        </w:rPr>
        <w:t xml:space="preserve">euro</w:t>
      </w:r>
      <w:r w:rsidR="00000000" w:rsidRPr="00000000" w:rsidDel="00000000">
        <w:rPr>
          <w:rtl w:val="0"/>
        </w:rPr>
        <w:t xml:space="preserve">, ņemot vērā saistītās personas (tostarp vienu vienotu uzņēmumu, kurš atbilst definīcijai, kas noteikta normatīvajos aktos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 ir reģistrēta Uzņēmumu reģistrā vai saimnieciskā darbība ir reģistrēta Valsts ieņēmumu dienestā pirms iesnieguma iesniegšanas Lauku atbalsta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īpašumā esošās un nomātās lauksaimniecībā izmantojamās zemes platība nepārsniedz 100 hektāru;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nepārstrādātu un pārstrādātu lauksaimniecības produktu ražošanu, kā arī ar tūristu apmeklējumiem un saimniecībā saražotās produkcijas piedāvāšanu 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Darījumdarbības plānā saskaņā ar šo noteikumu </w:t>
      </w:r>
      <w:r w:rsidR="00000000" w:rsidRPr="00000000" w:rsidDel="00000000">
        <w:rPr>
          <w:rtl w:val="0"/>
        </w:rPr>
        <w:t xml:space="preserve">37.1.2. </w:t>
      </w:r>
      <w:r w:rsidR="00000000" w:rsidRPr="00000000" w:rsidDel="00000000">
        <w:rPr>
          <w:rtl w:val="0"/>
        </w:rPr>
        <w:t xml:space="preserve">apakšpunktu</w:t>
      </w:r>
      <w:r w:rsidR="00000000" w:rsidRPr="00000000" w:rsidDel="00000000">
        <w:rPr>
          <w:rtl w:val="0"/>
        </w:rPr>
        <w:t xml:space="preserve"> var ietvert ieguldījumus, kas nepieciešami saimniecības darbības nozares pārorientācijai. Piena lopkopības saimniecības ieguldījumus var paredzēt tās pārorientēšanai uz citu lopkopības nozari.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atbalstu var saņemt arī tad, ja tas saņēmis atbalstu Latvijas Lauku attīstības programmas 2014.–2020. gadam pasākumā "Atbalsts uzņēmējdarbības uzsākšanai, attīstot mazās lauku saimniecības".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saimnieciskās darbības rādītājiem vai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 – neto apgrozījumu no lauksaimniecības produktu ražošanas vai pārstrādes palielina vismaz par 10 procentiem no projektā apstiprinātajām attiecināmajām izmaksām un, ja tiek ierīkoti ilggadīgie stādījumi, papildus nodrošina ražošanas resursa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saimnieciskās darbības attīstība – salīdzinājumā ar pēdējo triju gadu vidējo rādītāju pirms projekta iesnieguma iesniegšanas sasniedz vismaz vienu no šādiem saimnieciskās darbības rādītājiem vai mērķiem, palielinot: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resursu, vai apjomu no lauksaimniecības produktu ražošanas vai pārstrādes. Projekta iesnieguma iesniegšanas dienā nav sasniegts darījumdarbības plānā norādītais gala rādītājs;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ieguldījumus klimata pārmaiņu mazināšanā, energoefektivitātes palielināšanā vai enerģijas izmantošanā, kā arī ieguldījumus, kas uzlabo lauksaimniecības dzīvnieku labturību vai mazina lauksaimnieciskās darbības vai dzīvnieku postījumu risku, un citus ieguldījumus.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minētos investīciju projekta rezultatīvos rādītājus un mērķus atbalsta pretendents norāda darījumdarbības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minētos saimnieciskās darbības rādītājus atbalsta saņēmējs sasniedz otrajā noslēgtajā gadā pēc projekta īstenošanas un nepazemina tos visā turpmākajā uzraudzības periodā. Ja projektu īsteno gaļas liellopu audzēšanas nozarē vai ierīko ilggadīgos augļkopības kultūru stādījumus, attiecīgo rādītāju sasniedz ceturtajā noslēgtajā gadā pēc projekta īstenošanas.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 uzraudzības periods ir trīs gadi pēc projekta īstenošanas. Izņēmums ir gaļas liellopu audzēšanas nozarē vai ilggadīgo augļkopības kultūru stādījumu ierīkošanā īstenotie projekti, kuru uzraudzības periods ir pieci gadi. Projekta uzraudzības periods tiek uzskaitīts, sākot no pirmā noslēgtā gada pēc pēdējā maksājuma pieprasījuma iesniegšanas. Šajā laikā tiek nodrošināta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atbalsta piešķiršanas mērķim un neaizvieto esošos pamatlīdzekļus.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un celtspēja ir vismaz par 25 procentiem lielāka nekā saimniecībā vai uzņēmumā esošajam pamatlīdzeklim;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vai būves pārbūvi un atjaunošanu, ja būve tiek tehniski uzlabota.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pasākumus atbalsta saņēmējs uzsāk īstenot ne vēlāk kā deviņu mēnešu laikā no dienas, kad stājies spēkā lēmums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minētais nosacījums uzskatāms par izpildītu, ja atbalsta saņēmējs ir izpildījis vienu no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būvniecībā – atbilstoši būvniecības jomu regulējošajiem normatīvajiem aktiem izdarīta atzīme par būvniecības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iegādē – 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noslēdzis līgumu un samaksājis avansu vismaz 20 procentu apmērā no paredzētās iegādes summas saistībā ar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darījumdarbības plānā norādītajiem ieguldījumu maksājumiem izmanto bezskaidras naudas norēķinus.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pretendenti var īstenot kopprojektu, lai veidotu savstarpēju sadarbību un sekmētu pilna ražošanas cikla vai pievienotās vērtības radīšanu, kā arī lai sadarbotos kopīgas tehnikas iegādē, produktu pirmapstrādē, produkcijas iepakošanā un virzībā tirgū,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sadarbības līgumu vismaz ar septiņus gadus ilgu darbības termiņu. Sadarbības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sadarbības līgumu iesniedz un atbalstu saņem viens no kopprojekta dalībniekiem. Kopprojekta īstenošanā var izmantot darījumu kontu. Kopprojektā īstenotais ieguldījums nav izmantojams pakalpojuma sniegšanai citiem lauksaimniekiem;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 saskaņā ar šo noteikumu </w:t>
      </w:r>
      <w:r w:rsidR="00000000" w:rsidRPr="00000000" w:rsidDel="00000000">
        <w:rPr>
          <w:rtl w:val="0"/>
        </w:rPr>
        <w:t xml:space="preserve">37.1.3.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minētos rādītājus vai mērķus sasniedz katrs kopprojekta dalībnieks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kā arī saskaņā ar šiem noteikumiem uzraudzības periodā ievēro attīstībai noteiktās prasības un saistības, ko tie uzņēmušies.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Maksimālo publiskā finansējuma apmēru un atbalsta intensitāti nosaka atsevišķi katram atbalsta pretendentam, ņemot vērā tā saistītās personas, un – ja tiek īstenots kopprojekts – katram kopprojekta dalībniekam un atsevišķi katram pasākumam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minētajā pasākumā – no 5000 līdz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minētajā pasākumā – līdz 30 000 </w:t>
      </w:r>
      <w:r w:rsidR="00000000" w:rsidRPr="00000000" w:rsidDel="00000000">
        <w:rPr>
          <w:i w:val="1"/>
          <w:rtl w:val="0"/>
        </w:rPr>
        <w:t xml:space="preserve">euro</w:t>
      </w:r>
      <w:r w:rsidR="00000000" w:rsidRPr="00000000" w:rsidDel="00000000">
        <w:rPr>
          <w:rtl w:val="0"/>
        </w:rPr>
        <w:t xml:space="preserve">, tai skaitā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minētajā pasākumā saņemtais publiskais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intensitāte ir 85 procenti no projekta attiecināmajiem izdevumiem, izņemot lauksaimniecības tehnikas iegādi. Lauksaimniecības tehnikas iegādei atbalsta intensitāte ir 50 procenti, bet nepārsniedz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maksimālo publiskā finansējuma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Attiecināmi ir atbalsta pretendenta ieguldījumi, kas īstenoti pēc projekta iesnieguma iesniegšanas, izņemot izdevumus, kas saistīti ar projekta iesnieguma sagatavošanu.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Saistībā ar atbalstu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tehnikas un iekārtu, kā arī to aprīkojuma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lietotas tehnikas un iekārtu, kā arī to aprīkojuma iegādes un uzstādīšanas izmaksas, ja tehnika un iekārtas nav vecākas par pieciem gadiem (tehnikas un iekārtas vecumam ir jābūt pierādāmam);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pamatlīdzekļu, tostarp informācijas tehnoloģiju un programmnodrošinājuma,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ilggadīgo augļkopības kultūraugu stādu (izņemot zemeņu stādus) iegādes, stādījumu balstu sistēmu, žogu un žogu balstu iegādes un uzstādīšanas izmaksas un stādījumu ierīkošanas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preventīvu pasākumu īstenošanai, lai samazinātu savvaļas dzīvnieku nodarīto kaitējumu vai samazinātu to nāves iespējamību (piemēram, žogi, atbaidīšanas ierīces), kā arī darba suņu iegādes izmaksas aitkopības saimniecībām;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klimata pārmaiņu samazināšanas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un pārbūves (tostarp elektroenerģijas pieslēguma izveides) izmaksas atbilstoši līgumiem ar trešajām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būvmateriālu iegādes izmaksas, kas norādītas projekta iesniegumā, ja ir sniegta šo noteikumu </w:t>
      </w:r>
      <w:r w:rsidR="00000000" w:rsidRPr="00000000" w:rsidDel="00000000">
        <w:rPr>
          <w:rtl w:val="0"/>
        </w:rPr>
        <w:t xml:space="preserve">38.3. </w:t>
      </w:r>
      <w:r w:rsidR="00000000" w:rsidRPr="00000000" w:rsidDel="00000000">
        <w:rPr>
          <w:rtl w:val="0"/>
        </w:rPr>
        <w:t xml:space="preserve">apakšpunktā</w:t>
      </w:r>
      <w:r w:rsidR="00000000" w:rsidRPr="00000000" w:rsidDel="00000000">
        <w:rPr>
          <w:rtl w:val="0"/>
        </w:rPr>
        <w:t xml:space="preserve">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un ēku iegādes izmaksas projekta īstenošanai līdz 10 procentiem no projekta kopējām attiecināmajām izmaksām, neieskaitot vispārējās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vispārējās, tai skaitā arhitektu, inženieru un konsultantu honorāri, ekspertīzes, būvuzraudzības un autoruzraudzības pakalpojumu, juridisko pakalpojumu un tehniski ekonomisko pamatojumu, kā arī patentu un licenču saņemšanas, izmaksas, kas ir tieši saistītas ar projekta sagatavošanu vai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27.10. </w:t>
      </w:r>
      <w:r w:rsidR="00000000" w:rsidRPr="00000000" w:rsidDel="00000000">
        <w:rPr>
          <w:rtl w:val="0"/>
        </w:rPr>
        <w:t xml:space="preserve">apakšpunktā</w:t>
      </w:r>
      <w:r w:rsidR="00000000" w:rsidRPr="00000000" w:rsidDel="00000000">
        <w:rPr>
          <w:rtl w:val="0"/>
        </w:rPr>
        <w:t xml:space="preserve"> minētās izmaksas tiek noteiktas un piemērotas atbilstoši Zemkopības ministrijas izstrādātajai un publicētajai vienotās likmes aprēķina metodikai par projektu sagatavošanas un vispārējām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27.1. </w:t>
      </w:r>
      <w:r w:rsidR="00000000" w:rsidRPr="00000000" w:rsidDel="00000000">
        <w:rPr>
          <w:rtl w:val="0"/>
        </w:rPr>
        <w:t xml:space="preserve">apakšpunktā</w:t>
      </w:r>
      <w:r w:rsidR="00000000" w:rsidRPr="00000000" w:rsidDel="00000000">
        <w:rPr>
          <w:rtl w:val="0"/>
        </w:rPr>
        <w:t xml:space="preserve"> minētajām attiecināmajām izmaksām piešķir, piemērojot tehnikas un iekārtu katalogu, ko ievieš saskaņā ar Zemkopības ministrijas izstrādāto un publicēto tehnikas un iekārtu vienību izmaksu standarta likmes metodiku.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27.3. </w:t>
      </w:r>
      <w:r w:rsidR="00000000" w:rsidRPr="00000000" w:rsidDel="00000000">
        <w:rPr>
          <w:rtl w:val="0"/>
        </w:rPr>
        <w:t xml:space="preserve">apakšpunktā</w:t>
      </w:r>
      <w:r w:rsidR="00000000" w:rsidRPr="00000000" w:rsidDel="00000000">
        <w:rPr>
          <w:rtl w:val="0"/>
        </w:rPr>
        <w:t xml:space="preserve"> minētajās izmaksās iekļauj arī vienreizējās izmaksas, kas saistītas ar iekārtu uzstādīšanu, lai nodrošinātu to atbilstošu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pasākuma mērķa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var apvienot ar citā atbalsta programmā sniegto atbalstu attiecībā uz vienām un tām pašām attiecināmajām izmaksām, ievērojot maksimālo atbalsta intensitāti atbilstoši regulas 2021/2115 73. panta 4. punkta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Attiecināmās investīcijas, kas ir saistītas ar tūristu apmeklējumiem un saimniecībā saražotās produkcijas piedāvāšanu tiem, nepārsniedz 40 procentus no projekta attiecināmajiem 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Uz atbalstu neattiecina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maksājumus, maksu par naudas pārskaitījumiem, valūtas maiņas komisijas maksājumus un valūtas kursa svārstību dēļ radušos zaudējumus;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sodus, līgumsodus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dzīvnieku iegādi, izņemot gadījumu, ja tie iegādāti lauksaimniecības dzīvnieku aizsardzībai pret lielajiem plēsējiem;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apkopes, rezerves daļu un tehnikas un iekārtu ekspluatācijas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atlīdzību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nodokļus un nodevas, izņemot pievienotās vērtības nodokli, ja tas nav atgūstams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vispārējas nozīmes un tādu transportlīdzekļu izmaksas, kuri nav īpaši pielāgoti speciālu funkciju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radušās pirms projekta iesnieguma iesniegšanas;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2021/2115</w:t>
      </w:r>
      <w:r w:rsidR="00000000" w:rsidRPr="00000000" w:rsidDel="00000000">
        <w:rPr>
          <w:rtl w:val="0"/>
        </w:rPr>
        <w:t xml:space="preserve"> 73. panta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kā arī rakšanas tehnikas (ekskavatoru) un celmu frēzes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administrēšanu un uzraudzību lauku un zivsaimniecības attīstībai piemēro attiecināmo izdevumu samazinājumu pasākuma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tad, nemainot projekta mērķi un kopējo attiecināmo izmaksu apmēru, par attiecīgi pārsniegto procentpunktu skaitu pieļaujams pārskatīt attiecināmās izmaksas, vienlaikus nepārsniedzot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noteikto apstiprināto publiskā finansējuma 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 darbības aprakstu, raksturojošos rādītājus, ziņas par ražošanas ēkām un būvēm, tehniku un iekārtām, zemi un dzīvniekiem;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darījumdarbības plānu – paredzētās investīcijas un sasniedzamos rādītājus, saimniecības attīstības mērķus, ražošanas plānu, projekta aprakstu, projekta īstenošanas vietu, projekta īstenošanas nozari un citas ziņas, kā arī pavaddokumentus;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 par saimnieciskās darbības veicēja ekonomisko dzīvotspēju. Ekonomisko dzīvotspēju apliecina pozitīvs ieņēmumu un izdevumu kopsavilkums projekta iesnieguma iesniegšanas gadā un visos projekta īstenošanas gados, kā arī gadā pēc projekta īstenošanas. Naudas plūsmas atlikums katra gada beigās ir pozitīvs;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projekta iesniegumam atbilstoši nepieciešamībai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zemes gabals nav atbalsta pretendenta īpašumā, – zemesgrāmatā reģistrēta ilgtermiņa nomas līguma kopiju vai informāciju par zemesgrāmatā ierakstītām apbūves tiesībām: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 par jaunu būvniecību, pārbūvi, atjaunošanu, ilggadīgo augļkopības kultūraugu stādījumu ierīkošanu (turpmāk – stādījumi) nekustamajā īpašumā, kurā, īstenojot projektu, paredzēts būvēt jaunas vai pārbūvēt esošās būves vai ierīkot stādījumus;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 par nekustamo īpašumu, kurā, īstenojot projektu, paredzēts uzstādīt stacionāros pamatlīdzekļus;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atbilstoši būvniecības jomu regulējošajiem normatīvajiem aktiem Būvniecības informācijas sistēmā reģistrētu būvniecības lietu, ja darījumdarbības plānā plānota būvniecība vai būvmateriālu iegāde;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ja atbalsta pretendents ir atbilstīgas kooperatīvās sabiedrības biedrs;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cenu salīdzināšanu.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maksājumus izmaksā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Plānošanas periodā atbalsta pretendents šajos noteikumos minēto atbalstu var saņemt vairākas reizes, bet nepārsniedzot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maksimālo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iesniegumus sarindo pēc iegūto punktu skaita atbilstoši atlases kritērijiem (</w:t>
      </w:r>
      <w:r w:rsidR="00000000" w:rsidRPr="00000000" w:rsidDel="00000000">
        <w:rPr>
          <w:rtl w:val="0"/>
        </w:rPr>
        <w:t xml:space="preserve">pielikums</w:t>
      </w:r>
      <w:r w:rsidR="00000000" w:rsidRPr="00000000" w:rsidDel="00000000">
        <w:rPr>
          <w:rtl w:val="0"/>
        </w:rPr>
        <w:t xml:space="preserve">). Ja projektu atlasē iegūtais punktu skaits ir vienāds, rindošanā augstāk atrodas atbalsta pretendents, kam ir izmaksāts mazāks publiskais finansējums saskaņā ar šo noteikumu </w:t>
      </w:r>
      <w:r w:rsidR="00000000" w:rsidRPr="00000000" w:rsidDel="00000000">
        <w:rPr>
          <w:rtl w:val="0"/>
        </w:rPr>
        <w:t xml:space="preserve">pielikuma</w:t>
      </w:r>
      <w:r w:rsidR="00000000" w:rsidRPr="00000000" w:rsidDel="00000000">
        <w:rPr>
          <w:rtl w:val="0"/>
        </w:rPr>
        <w:t xml:space="preserve"> 6. punktu. Ja ir vienāds gan punktu skaits, gan izmaksātā publiskā finansējuma apmērs, priekšroka saņemt publisko finansējumu ir pēc lauksaimniecībā izmantojamās zemes platības mazākai saimniecībai.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saņēmējs, sākot ar otro gadu pēc projekta īstenošanas, par pilno noslēgto gadu un turpmāk visā projekta uzraudzības periodā katru gadu mēneša laikā pēc gada ienākumu deklarācijas vai gada pārskata iesniegšanas Valsts ieņēmumu dienestā iesniedz Lauku atbalsta dienesta elektroniskās pieteikšanās sistēmā pārskatu par saimnieciskās darbības rādītājiem par iepriekšējo kalendāra gadu, tajā ietverot informāciju par atbalsta saņēmēju, tostarp nodarbinātajiem, un sasniedzamo mērķu izpildes rādītājiem.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normatīvajos aktos par valsts un Eiropas Savienības atbalsta piešķiršanu, administrēšanu un uzraudzību lauku un zivsaimniecības attīstībai noteiktajā kārtībā ir tiesīgs pieprasīt saņemtā atbalsta atmaksu pilnā vai daļējā apmērā, tostarp,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nav sasniedzis projektā noteiktos rādītājus vai mērķus;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pārtrauc projekta īstenošanu vai neveic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nav īstenoti vai īstenoti tikai daļēji un neatbilst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darījumdarbības plāna īstenošanas laikā un pabeigšanas brīdī atbalsta pretendents nenodrošina sākotnējo projektu atlases kritērijos (</w:t>
      </w:r>
      <w:r w:rsidR="00000000" w:rsidRPr="00000000" w:rsidDel="00000000">
        <w:rPr>
          <w:rtl w:val="0"/>
        </w:rPr>
        <w:t xml:space="preserve">pielikums</w:t>
      </w:r>
      <w:r w:rsidR="00000000" w:rsidRPr="00000000" w:rsidDel="00000000">
        <w:rPr>
          <w:rtl w:val="0"/>
        </w:rPr>
        <w:t xml:space="preserve">) iegūto punktu skaitu, un tas rada risku atbalsta izmantošanai atbilstoši mērķim.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minētos projekta iesniegumā norādītos rādītājus, atbalsta saņēmējs, sniedzot pamatojumu, ir tiesīgs lūgt Lauku atbalsta dienestu: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periodu plānoto rādītāju sasniegšanai.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noteikumu_projekts_23-TA-168.docx</dc:title>
</cp:coreProperties>
</file>

<file path=docProps/custom.xml><?xml version="1.0" encoding="utf-8"?>
<Properties xmlns="http://schemas.openxmlformats.org/officeDocument/2006/custom-properties" xmlns:vt="http://schemas.openxmlformats.org/officeDocument/2006/docPropsVTypes"/>
</file>