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intervencē "Atbalsts ieguldījumiem mazajās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0"/>
        <w:gridCol w:w="2443"/>
        <w:gridCol w:w="3975"/>
        <w:gridCol w:w="1036"/>
        <w:gridCol w:w="944"/>
        <w:tblGridChange w:id="0">
          <w:tblGrid>
            <w:gridCol w:w="490"/>
            <w:gridCol w:w="2443"/>
            <w:gridCol w:w="3975"/>
            <w:gridCol w:w="1036"/>
            <w:gridCol w:w="9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nozare, kas tiek attīstīta saskaņā ar projekta plānu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Augļkopība, dārzeņkopība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lauksaimniecības nozares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esošā vai plānotā lauksaimniecības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lauksaimniecība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lauksaimniecības augļkopība, dārzkopība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kopprodukts (turpmāk – IKP) uz vienu iedzīvotāju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kopējais apgrozījums</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veseliem 1000 </w:t>
            </w:r>
            <w:r w:rsidR="00000000" w:rsidRPr="00000000" w:rsidDel="00000000">
              <w:rPr>
                <w:i w:val="1"/>
                <w:rtl w:val="0"/>
              </w:rPr>
              <w:t xml:space="preserve">euro</w:t>
            </w:r>
            <w:r w:rsidR="00000000" w:rsidRPr="00000000" w:rsidDel="00000000">
              <w:rPr>
                <w:rtl w:val="0"/>
              </w:rPr>
              <w:t xml:space="preserve">, kas ir zem 15 000 </w:t>
            </w:r>
            <w:r w:rsidR="00000000" w:rsidRPr="00000000" w:rsidDel="00000000">
              <w:rPr>
                <w:i w:val="1"/>
                <w:rtl w:val="0"/>
              </w:rPr>
              <w:t xml:space="preserve">euro </w:t>
            </w:r>
            <w:r w:rsidR="00000000" w:rsidRPr="00000000" w:rsidDel="00000000">
              <w:rPr>
                <w:rtl w:val="0"/>
              </w:rPr>
              <w:t xml:space="preserve">robežvērtības, piešķir vienu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Saņemtais publiskais finansējums 2014.–2020. gada plānošanas un pārejas periodā un 2023.–2027. gada plānošanas periodā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attiecināmo izmaksu summas lielums projektu iesniegšanas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15 000–30 000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30 000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preventīvie pasākumi (punktu skaitu reizina ar preventīvo pasākumu izdevumu proporciju no kopējiem projekta attaisnotajiem izdevumiem)</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preventīvajos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dalība atbilstīgā kooperatīvā vai ražotāju organizācijā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Noslēgts ilgtermiņa līgums ar pārstrādes uzņēmumu vai par produkcijas realizāciju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51 % vai vairāk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10–50 %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mazāk par 10 %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radīšana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Pārstrādā savu saražoto primārās lauksaimniecības produkciju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b w:val="1"/>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137</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50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iekārtas tiek uzstādītas projekta attiecināmajās izmaksās iekļauto attiecīgās būves būvdarbu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Atbalsta pretendenta projekta īstenošanas vietas (saimniecības faktiskā adrese) IKP uz vienu iedzīvotāju novados. Lai aprēķinātu IKP uz vienu iedzīvotāju, datus iegūst no Centrālās statistikas pārvaldes (turpmāk – CSP) un aprēķinam izmanto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1000/C,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IKP uz vienu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IKP faktiskajā cenā (datu tabula: IKR060. Iekšzemes kopprodukts un bruto pievienotā vērtība plānošanas reģionos, valstspilsētās un novados faktiskajās cenās (pēc administratīvi teritoriālās reformas 2021. gadā) (tūkst.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iedzīvotāju skaits attiecīgajā novadā (datu tabula: RIG010. Iedzīvotāji pēc dzimuma un vecuma grupām reģionos, novados, pilsētās, pagastos, ciemos, apkaimēs un blīvi apdzīvotās teritorijās (eksperimentālā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piemēro, ja saimniecības kopējais apgrozījums ir vismaz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4 </w:t>
      </w:r>
      <w:r w:rsidR="00000000" w:rsidRPr="00000000" w:rsidDel="00000000">
        <w:rPr>
          <w:rtl w:val="0"/>
        </w:rPr>
        <w:t xml:space="preserve">Publiskais finansējums saņemts šādos Latvijas Lauku attīstības programmas 2014.–2020. gada plānošanas un pārejas perioda pasākumos un 2023.–2027. gada intervencēs: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LEADER </w:t>
      </w:r>
      <w:r w:rsidR="00000000" w:rsidRPr="00000000" w:rsidDel="00000000">
        <w:rPr>
          <w:rtl w:val="0"/>
        </w:rPr>
        <w:t xml:space="preserve">(projekti, kuru mērķis bija lauksaimniecības produktu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ieguldījumi materiālajos aktīvos;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2014.–2020. gada plānošanas un pārejas perioda apakšpasākumos "Atbalsts uzņēmējdarbības uzsākšanai, attīstot mazās lauku saimniecības", "Atbalsts jaunajiem lauksaimniekiem uzņēmējdarbības uzsākšanai" un  2023.–2027. gada intervencē "Atbalsts ieguldījumiem mazajās lauku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Kritēriju aprēķinā izmanto attiecināmās izmaksas preventīvajiem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preventīvo pasākumu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preventīvo pasākumu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Kopprojektiem kritērijus aprēķina, ņemot vērā visus kopprojekta dalībnieku datus kopā. Šā pielikuma 2. punktā minētā kritērija punktus kopprojektam piemēro, ja tam atbilst visi kopprojekta dalībnieki. Šā pielikuma 6. punktā minētā kritērija punktus aprēķina katram kopprojekta dalībniekam atsevišķi, pēc tam tos summē un izdala ar kopprojekta dalībnieku skaitu.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noteikumu_projekts_p_23-TA-168.docx</dc:title>
</cp:coreProperties>
</file>

<file path=docProps/custom.xml><?xml version="1.0" encoding="utf-8"?>
<Properties xmlns="http://schemas.openxmlformats.org/officeDocument/2006/custom-properties" xmlns:vt="http://schemas.openxmlformats.org/officeDocument/2006/docPropsVTypes"/>
</file>