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Style w:val="paragraph"/>
          <w:b w:val="1"/>
          <w:vertAlign w:val="superscript"/>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25.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Būvizstrādājumu veidi, uz kuriem attiecināmas prasības attiecībā uz to emitēto gamma starojumu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Dabiskie 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alauna slāneklis;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dabiski vulkāniskas izcelsmes būvizstrādājumi vai to piedevas, piemēram, granitoīdi (tostarp granīti, sienīts, ortogneiss), porfīri, vulkāniskais tufs, pocolāns (pocolānie pelni), lava.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Materiāli, kuros ietilpst atlikumi, kas saņemti no uzņēmumiem, kuri pārstrādā dabā sastopamos radioaktīvos materiālus, piemēram, vieglie pelni, fosforģipsis, fosfora izdedži, alvas izdedži, vara izdedži, "sarkanie dubļi" (alumīnija ražošanas atlikums), tērauda ražošanas atlikumi.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24-TA-1987</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24-TA-1987</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noteikumu_konsolidētā_versija_p1_2_24-TA-1987.docx</dc:title>
</cp:coreProperties>
</file>

<file path=docProps/custom.xml><?xml version="1.0" encoding="utf-8"?>
<Properties xmlns="http://schemas.openxmlformats.org/officeDocument/2006/custom-properties" xmlns:vt="http://schemas.openxmlformats.org/officeDocument/2006/docPropsVTypes"/>
</file>