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Nozares, kurām darbības programmas "Uzņēmējdarbības attīstība, inovācijas un mazie un vidējie uzņēmumi" ietvaros finansējums netiek sniegts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Tirdzniecības nozarei – saskaņā ar NACE 2. red. G sadaļu "Vairumtirdzniecība un mazumtirdzniecība; automobiļu un motociklu remonts".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Komercpakalpojumu nozarei – saskaņā ar NACE 2. red. L sadaļu "Operācijas ar nekustamo īpašumu" un N sadaļas "Administratīvo un apkalpojošo dienestu darbība" 77. nodaļu "Iznomāšana un ekspluatācijas līzings".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Azartspēļu nozarei – saskaņā ar NACE 2. red. R sadaļu "Māksla, izklaide un atpūta" 92. nodaļu "Azartspēles un derības".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Alkoholisko dzērienu ražošanas nozarei – saskaņā ar NACE 2. red. C sadaļas 11. nodaļu "Dzērienu ražošana", izņemot klasi 11.06 "Iesala ražošana" un klasi 11.07 "Bezalkohola dzērienu ražošana; minerālūdeņu un pudelēs iepildītu citu ūdeņu ražošana".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Tabakas izstrādājumu ražošanas nozarei – saskaņā ar NACE 2. red. C sadaļas 12. nodaļu "Tabakas izstrādājumu ražošana".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Atbalsts, ko sniedz atbilstoši Komisijas regulas Nr. 651/2014 nosacījumiem, netiek sniegts: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zivsaimniecības un akvakultūras nozarei – atbilstoši Komisijas regulas Nr. 651/2014 1. panta 3. punkta "a" apakšpunktam;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lauksaimniecības nozarei – atbilstoši Komisijas regulas Nr. 651/2014 1. panta 3. punkta "b" un "c" apakšpunktam;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darbības jomām atbilstoši Komisijas regulas Nr. 651/2014 1. panta 2. punkta "c" un "d" apakšpunktam;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 darbības jomām atbilstoši Komisijas regulas Nr. 651/2014 13. pantam.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Atbalsts, ko sniedz atbilstoši Komisijas regulas Nr. 1407/2013 nosacījumiem, netiek sniegts tām nozarēm, kuras atbilst Komisijas regulas Nr. 1407/2013 1. panta 1. punktā minētajiem izņēmumiem.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22-TA-766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22-TA-766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noteikumu_konsolidētā_versija_p2_22-TA-766.docx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