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Valsts un Eiropas Savienības atbalsta piešķiršanas kārtība pasākumā "Pievienotā vērtība, produktu kvalitāte un nevēlamu nozveju izmantošana"</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w:t>
      </w:r>
      <w:r w:rsidR="00000000" w:rsidRPr="00000000" w:rsidDel="00000000">
        <w:rPr>
          <w:rStyle w:val="paragraph"/>
          <w:i w:val="1"/>
          <w:rtl w:val="0"/>
        </w:rPr>
        <w:t xml:space="preserve"> Lauksaimniecības un lauku</w:t>
      </w:r>
      <w:r>
        <w:br/>
      </w:r>
      <w:r w:rsidR="00000000" w:rsidRPr="00000000" w:rsidDel="00000000">
        <w:rPr>
          <w:rStyle w:val="paragraph"/>
          <w:i w:val="1"/>
          <w:rtl w:val="0"/>
        </w:rPr>
        <w:t xml:space="preserve">attīstības likuma</w:t>
      </w:r>
      <w:r w:rsidR="00000000" w:rsidRPr="00000000" w:rsidDel="00000000">
        <w:rPr>
          <w:rStyle w:val="paragraph"/>
          <w:i w:val="1"/>
          <w:rtl w:val="0"/>
        </w:rPr>
        <w:t xml:space="preserve"> 5. panta ceturto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kārtību, kādā piešķir valsts un Eiropas Savienības atbalstu atklātu projektu iesniegumu konkursu veidā zivsaimniecības attīstības pasākumā "Pievienotā vērtība, produktu kvalitāte un nevēlamu nozveju izmantošana" (turpmāk – pasākums) saskaņā ar Eiropas Parlamenta un Padomes 2014. gada 15. maija Regulu (ES) Nr.  </w:t>
      </w:r>
      <w:r w:rsidR="00000000" w:rsidRPr="00000000" w:rsidDel="00000000">
        <w:rPr>
          <w:rtl w:val="0"/>
        </w:rPr>
        <w:t xml:space="preserve">508/2014</w:t>
      </w:r>
      <w:r w:rsidR="00000000" w:rsidRPr="00000000" w:rsidDel="00000000">
        <w:rPr>
          <w:rtl w:val="0"/>
        </w:rPr>
        <w:t xml:space="preserve"> par Eiropas Jūrlietu un zivsaimniecības fondu un ar ko atceļ Padomes Regulas (EK) Nr.  </w:t>
      </w:r>
      <w:r w:rsidR="00000000" w:rsidRPr="00000000" w:rsidDel="00000000">
        <w:rPr>
          <w:rtl w:val="0"/>
        </w:rPr>
        <w:t xml:space="preserve">2328/2003</w:t>
      </w:r>
      <w:r w:rsidR="00000000" w:rsidRPr="00000000" w:rsidDel="00000000">
        <w:rPr>
          <w:rtl w:val="0"/>
        </w:rPr>
        <w:t xml:space="preserve">, (EK) Nr.  </w:t>
      </w:r>
      <w:r w:rsidR="00000000" w:rsidRPr="00000000" w:rsidDel="00000000">
        <w:rPr>
          <w:rtl w:val="0"/>
        </w:rPr>
        <w:t xml:space="preserve">861/2006</w:t>
      </w:r>
      <w:r w:rsidR="00000000" w:rsidRPr="00000000" w:rsidDel="00000000">
        <w:rPr>
          <w:rtl w:val="0"/>
        </w:rPr>
        <w:t xml:space="preserve">, (EK) Nr.  </w:t>
      </w:r>
      <w:r w:rsidR="00000000" w:rsidRPr="00000000" w:rsidDel="00000000">
        <w:rPr>
          <w:rtl w:val="0"/>
        </w:rPr>
        <w:t xml:space="preserve">1198/2006</w:t>
      </w:r>
      <w:r w:rsidR="00000000" w:rsidRPr="00000000" w:rsidDel="00000000">
        <w:rPr>
          <w:rtl w:val="0"/>
        </w:rPr>
        <w:t xml:space="preserve"> un (EK) Nr.  </w:t>
      </w:r>
      <w:r w:rsidR="00000000" w:rsidRPr="00000000" w:rsidDel="00000000">
        <w:rPr>
          <w:rtl w:val="0"/>
        </w:rPr>
        <w:t xml:space="preserve">791/2007</w:t>
      </w:r>
      <w:r w:rsidR="00000000" w:rsidRPr="00000000" w:rsidDel="00000000">
        <w:rPr>
          <w:rtl w:val="0"/>
        </w:rPr>
        <w:t xml:space="preserve"> un Eiropas Parlamenta un Padomes Regulu (ES) Nr.  </w:t>
      </w:r>
      <w:r w:rsidR="00000000" w:rsidRPr="00000000" w:rsidDel="00000000">
        <w:rPr>
          <w:rtl w:val="0"/>
        </w:rPr>
        <w:t xml:space="preserve">1255/2011</w:t>
      </w:r>
      <w:r w:rsidR="00000000" w:rsidRPr="00000000" w:rsidDel="00000000">
        <w:rPr>
          <w:rtl w:val="0"/>
        </w:rPr>
        <w:t xml:space="preserve"> (turpmāk – regula Nr.  </w:t>
      </w:r>
      <w:r w:rsidR="00000000" w:rsidRPr="00000000" w:rsidDel="00000000">
        <w:rPr>
          <w:rtl w:val="0"/>
        </w:rPr>
        <w:t xml:space="preserve">508/2014</w:t>
      </w:r>
      <w:r w:rsidR="00000000" w:rsidRPr="00000000" w:rsidDel="00000000">
        <w:rPr>
          <w:rtl w:val="0"/>
        </w:rPr>
        <w:t xml:space="preserve">), Eiropas Parlamenta un Padomes 2013. gada 17. decembra Regulu (ES) Nr.  </w:t>
      </w:r>
      <w:r w:rsidR="00000000" w:rsidRPr="00000000" w:rsidDel="00000000">
        <w:rPr>
          <w:rtl w:val="0"/>
        </w:rPr>
        <w:t xml:space="preserve">1303/2013</w:t>
      </w:r>
      <w:r w:rsidR="00000000" w:rsidRPr="00000000" w:rsidDel="00000000">
        <w:rPr>
          <w:rtl w:val="0"/>
        </w:rPr>
        <w:t xml:space="preserve">, ar ko paredz kopīgus noteikumus par Eiropas Reģionālās attīstības fondu, Eiropas Sociālo fondu, Kohēzijas fondu, Eiropas Lauksaimniecības fondu lauku attīstībai un Eiropas Jūrlietu un zivsaimniecības fondu un vispārīgus noteikumus par Eiropas Reģionālās attīstības fondu, Eiropas Sociālo fondu, Kohēzijas fondu un Eiropas Jūrlietu un zivsaimniecības fondu un atceļ Padomes Regulu (EK) Nr.  </w:t>
      </w:r>
      <w:r w:rsidR="00000000" w:rsidRPr="00000000" w:rsidDel="00000000">
        <w:rPr>
          <w:rtl w:val="0"/>
        </w:rPr>
        <w:t xml:space="preserve">1083/2006</w:t>
      </w:r>
      <w:r w:rsidR="00000000" w:rsidRPr="00000000" w:rsidDel="00000000">
        <w:rPr>
          <w:rtl w:val="0"/>
        </w:rPr>
        <w:t xml:space="preserve"> (turpmāk – regula Nr.  </w:t>
      </w:r>
      <w:r w:rsidR="00000000" w:rsidRPr="00000000" w:rsidDel="00000000">
        <w:rPr>
          <w:rtl w:val="0"/>
        </w:rPr>
        <w:t xml:space="preserve">1303/2013</w:t>
      </w:r>
      <w:r w:rsidR="00000000" w:rsidRPr="00000000" w:rsidDel="00000000">
        <w:rPr>
          <w:rtl w:val="0"/>
        </w:rPr>
        <w:t xml:space="preserve">), un Eiropas Parlamenta un Padomes 2013. gada 11. decembra Regulu (ES) Nr.  </w:t>
      </w:r>
      <w:r w:rsidR="00000000" w:rsidRPr="00000000" w:rsidDel="00000000">
        <w:rPr>
          <w:rtl w:val="0"/>
        </w:rPr>
        <w:t xml:space="preserve">1379/2013</w:t>
      </w:r>
      <w:r w:rsidR="00000000" w:rsidRPr="00000000" w:rsidDel="00000000">
        <w:rPr>
          <w:rtl w:val="0"/>
        </w:rPr>
        <w:t xml:space="preserve"> par zvejas un akvakultūras produktu tirgu kopīgo organizāciju un ar ko groza Padomes Regulas (EK) Nr.  </w:t>
      </w:r>
      <w:r w:rsidR="00000000" w:rsidRPr="00000000" w:rsidDel="00000000">
        <w:rPr>
          <w:rtl w:val="0"/>
        </w:rPr>
        <w:t xml:space="preserve">1184/2006</w:t>
      </w:r>
      <w:r w:rsidR="00000000" w:rsidRPr="00000000" w:rsidDel="00000000">
        <w:rPr>
          <w:rtl w:val="0"/>
        </w:rPr>
        <w:t xml:space="preserve"> un (EK) Nr.  </w:t>
      </w:r>
      <w:r w:rsidR="00000000" w:rsidRPr="00000000" w:rsidDel="00000000">
        <w:rPr>
          <w:rtl w:val="0"/>
        </w:rPr>
        <w:t xml:space="preserve">1224/2009</w:t>
      </w:r>
      <w:r w:rsidR="00000000" w:rsidRPr="00000000" w:rsidDel="00000000">
        <w:rPr>
          <w:rtl w:val="0"/>
        </w:rPr>
        <w:t xml:space="preserve"> un atceļ Padomes Regulu (EK) Nr.  </w:t>
      </w:r>
      <w:r w:rsidR="00000000" w:rsidRPr="00000000" w:rsidDel="00000000">
        <w:rPr>
          <w:rtl w:val="0"/>
        </w:rPr>
        <w:t xml:space="preserve">104/2000</w:t>
      </w:r>
      <w:r w:rsidR="00000000" w:rsidRPr="00000000" w:rsidDel="00000000">
        <w:rPr>
          <w:rtl w:val="0"/>
        </w:rPr>
        <w:t xml:space="preserve"> (turpmāk – regula Nr.  </w:t>
      </w:r>
      <w:r w:rsidR="00000000" w:rsidRPr="00000000" w:rsidDel="00000000">
        <w:rPr>
          <w:rtl w:val="0"/>
        </w:rPr>
        <w:t xml:space="preserve">1379/2013</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Pasākuma mērķis ir palielināt zvejas produktu pievienoto vērtību saskaņā ar regulas Nr.  </w:t>
      </w:r>
      <w:r w:rsidR="00000000" w:rsidRPr="00000000" w:rsidDel="00000000">
        <w:rPr>
          <w:rtl w:val="0"/>
        </w:rPr>
        <w:t xml:space="preserve">508/2014</w:t>
      </w:r>
      <w:r w:rsidR="00000000" w:rsidRPr="00000000" w:rsidDel="00000000">
        <w:rPr>
          <w:rtl w:val="0"/>
        </w:rPr>
        <w:t xml:space="preserve"> 42. panta 1. punkta "a" apakšpunktu, atbalstot ieguldījumus, kuru ieviešanas rezultāts ir pieejams plašākam zivsaimniecības nozares pārstāvju lokam nekā to pasākumu rezultāts, kurus parasti savās interesēs īsteno komersanti.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Pasākuma īstenošanas vieta ir Latvijas teritorija. Saldētu zvejas produktu uzglabāšanas (ne augstākā temperatūrā par –18 ºC) kameru būvniecības, ierīkošanas, novietošanas, pārbūves un atjaunošanas izmaksas īstenojamas Latvijas teritorijā, izņemot esošo zvejas ostu (ostu vai to daļu, ko izmanto zvejniecībai) teritoriju.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Projektu iesniegumu pieņemšanu izsludina, projektu iesniegumus iesniedz, vērtē un atlasa, lēmumu pieņem un paziņo, atbalstu pieprasa, kā arī projekta uzraudzību veic un sankcijas piemēro saskaņā ar normatīvajiem aktiem par valsts un Eiropas Savienības atbalsta piešķiršanu, administrēšanu un uzraudzību lauku un zivsaimniecības attīstībai 2014.–2020. gada plānošanas periodā.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Vienā projektu iesniegumu pieņemšanas kārtā atbalsta pretendents (turpmāk – pretendents) iesniedz ne vairāk kā vienu projekta iesniegumu.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Atbalsta saņemšanas nosacījumi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Pretendents ir biedrība, kura ir reģistrēta saskaņā ar Biedrību un nodibinājumu likumu un kuras ne mazāk kā trīs biedru komercdarbības joma galvenokārt ir zvejniecība, izņemot komerciālo zveju iekšējos ūdeņos.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i w:val="1"/>
          <w:rtl w:val="0"/>
        </w:rPr>
        <w:t xml:space="preserve">(</w:t>
      </w:r>
      <w:r w:rsidR="00000000" w:rsidRPr="00000000" w:rsidDel="00000000">
        <w:rPr>
          <w:rtl w:val="0"/>
        </w:rPr>
        <w:t xml:space="preserve">Svītrots ar MK 24.10.2017. noteikumiem Nr. 641</w:t>
      </w:r>
      <w:r w:rsidR="00000000" w:rsidRPr="00000000" w:rsidDel="00000000">
        <w:rPr>
          <w:i w:val="1"/>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i w:val="1"/>
          <w:rtl w:val="0"/>
        </w:rPr>
        <w:t xml:space="preserve">(</w:t>
      </w:r>
      <w:r w:rsidR="00000000" w:rsidRPr="00000000" w:rsidDel="00000000">
        <w:rPr>
          <w:rtl w:val="0"/>
        </w:rPr>
        <w:t xml:space="preserve">Svītrots ar MK 24.10.2017. noteikumiem Nr. 641</w:t>
      </w:r>
      <w:r w:rsidR="00000000" w:rsidRPr="00000000" w:rsidDel="00000000">
        <w:rPr>
          <w:i w:val="1"/>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Nekustamais īpašums, kurā paredzēts īstenot projektu, ir pretendenta īpašumā vai nomā, un to apliecina ieraksts zemesgrāmatā vai zemesgrāmatā reģistrēts ilgtermiņa nomas līgums, kurā minētais nomas termiņš nav īsāks par septiņiem gadiem no projekta iesnieguma iesniegšanas dienas.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Pretendents visā projekta īstenošanas un uzraudzības laikā ievēro šādus publiskā finansējuma saņemšanas nosacījumus: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 pasākuma mērķim;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neaizvieto esošos pamatlīdzekļus.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Par pamatlīdzekļu aizvietošanu neuzskata: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jaunbūvi, būves pārbūvi, būves ierīkošanu, būves novietošanu un būves atjaunošanu;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tāda pamatlīdzekļa iegādi, kura ražošanas jauda, ražība vai celtspēja ir vismaz par 25 procentiem lielāka nekā nolietotā pamatlīdzekļa ražošanas jauda, ražība vai celtspēja;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pamatlīdzekļa papildu iegādi tādam pamatlīdzeklim, kurš ir vecāks par 10 gadiem. Papildinot esošos pamatlīdzekļus, kas ir jaunāki par 10 gadiem, tos saglabā vismaz piecus gadus pēc projekta iesniegšanas vai līdz laikam, kad pamatlīdzekļa nolietojums ir 10 gadu ilgs;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tāda pamatlīdzekļa iegādi, kurš būtiski maina ražošanas vai tehnoloģiju raksturu.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07.02.2017. noteikumiem Nr. 77)</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Šo noteikumu izpratnē ar būves atjaunošanu saistītās izmaksas ir attiecināmas uz būves tehniskiem vai funkcionāliem uzlabojumiem ēku energoefektivitātes uzlabošanai un telpu pārveidošanai vai pielāgošanai ražošanas vajadzībām, ja netiek mainīts būves apjoms vai nesošo elementu nestspēja. Pēc projekta īstenošanas būves atjaunošanas izmaksas iekļauj pamatlīdzekļa vērtībā (kapitalizē).</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Minimālais punktu skaits, lai pretendētu uz atbalstu, ir 10 punkti atbilstoši šo noteikumu </w:t>
      </w:r>
      <w:r w:rsidR="00000000" w:rsidRPr="00000000" w:rsidDel="00000000">
        <w:rPr>
          <w:rtl w:val="0"/>
        </w:rPr>
        <w:t xml:space="preserve">1.</w:t>
      </w:r>
      <w:r w:rsidR="00000000" w:rsidRPr="00000000" w:rsidDel="00000000">
        <w:rPr>
          <w:rtl w:val="0"/>
        </w:rPr>
        <w:t xml:space="preserve"> pielikumā minētajiem projektu atlases kritērijiem. Ja, sarindojot projektu iesniegumus atbilstoši šo noteikumu </w:t>
      </w:r>
      <w:r w:rsidR="00000000" w:rsidRPr="00000000" w:rsidDel="00000000">
        <w:rPr>
          <w:rtl w:val="0"/>
        </w:rPr>
        <w:t xml:space="preserve">1.</w:t>
      </w:r>
      <w:r w:rsidR="00000000" w:rsidRPr="00000000" w:rsidDel="00000000">
        <w:rPr>
          <w:rtl w:val="0"/>
        </w:rPr>
        <w:t xml:space="preserve"> pielikumā minētajiem projektu atlases kritērijiem, vairāki projektu iesniegumi ir saņēmuši vienādu punktu skaitu, priekšroka saņemt publisko finansējumu ir pretendentam ar lielāko pretendenta biedriem pārskata gada 1. janvārī piešķirto nozvejas limitu kopsummas īpatsvaru no Latvijai Baltijas jūrā noteiktajām zvejas iespējām.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Pretendents projektu sāk īstenot ne vēlāk kā sešu mēnešu laikā pēc dienas, kad stājies spēkā lēmums par projekta iesnieguma apstiprināšanu. Ja projektā paredzēta būvju būvniecība, pārbūve, atjaunošana, ierīkošana vai novietošana, pretendents projektu sāk īstenot ne vēlāk kā deviņu mēnešu laikā pēc lēmuma par projekta apstiprināšanu spēkā stāšanās dienas.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w:t>
      </w:r>
      <w:r w:rsidR="00000000" w:rsidRPr="00000000" w:rsidDel="00000000">
        <w:rPr>
          <w:rtl w:val="0"/>
        </w:rPr>
        <w:t xml:space="preserve"> punktā minēto nosacījumu uzskata par izpildītu, ja ir izpildīts viens no šādiem nosacījumiem: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pretendents Lauku atbalsta dienestā ir iesniedzis papildinātu būvatļaujas kopiju ar būvvaldes atzīmi par būvdarbu uzsākšanas nosacījumu izpildi;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pretendents ir iegādājies vismaz vienu no projektā paredzētajiem pamatlīdzekļiem, kura vērtība veido vismaz 10 procentu no paredzētās pamatlīdzekļu iegādes summas;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citos gadījumos pretendents ir noslēdzis līgumu ar projekta iesniegumā ietverto attiecināmo izmaksu piegādātāju vai pakalpojuma sniedzēju un samaksājis avansu vismaz 20 procentu apmērā no paredzētās iegādes summas.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07.02.2017. noteikumiem Nr. 77)</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 (Svītrots ar MK 07.02.2017. noteikumiem Nr. 77)</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Visu projektu uzraudzības periods pēc to īstenošanas ir pieci gadi.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Publiskā finansējuma apmērs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Publiskā finansējuma apmērs: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biedrībai, kas nav zvejas produktu ražotāju organizācija, ir 60 procentu no attiecināmajām izmaksām saskaņā ar regulas Nr.  </w:t>
      </w:r>
      <w:r w:rsidR="00000000" w:rsidRPr="00000000" w:rsidDel="00000000">
        <w:rPr>
          <w:rtl w:val="0"/>
        </w:rPr>
        <w:t xml:space="preserve">508/2014</w:t>
      </w:r>
      <w:r w:rsidR="00000000" w:rsidRPr="00000000" w:rsidDel="00000000">
        <w:rPr>
          <w:rtl w:val="0"/>
        </w:rPr>
        <w:t xml:space="preserve"> 95. panta 1. un 4. apakšpunktu;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biedrībai, kas ir atzīta zvejas produktu ražotāju organizācija, ir 75 procenti no attiecināmajām izmaksām saskaņā ar regulas Nr.  </w:t>
      </w:r>
      <w:r w:rsidR="00000000" w:rsidRPr="00000000" w:rsidDel="00000000">
        <w:rPr>
          <w:rtl w:val="0"/>
        </w:rPr>
        <w:t xml:space="preserve">508/2014</w:t>
      </w:r>
      <w:r w:rsidR="00000000" w:rsidRPr="00000000" w:rsidDel="00000000">
        <w:rPr>
          <w:rtl w:val="0"/>
        </w:rPr>
        <w:t xml:space="preserve"> 95. panta 1. un 4. apakšpunktu;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pretendentam, kas projektu īsteno piekrastes zvejnieku vajadzībām, ir 80 procentu no attiecināmajām izmaksām, kas saistītas ar piekrastes zveju, saskaņā ar regulas Nr.  </w:t>
      </w:r>
      <w:r w:rsidR="00000000" w:rsidRPr="00000000" w:rsidDel="00000000">
        <w:rPr>
          <w:rtl w:val="0"/>
        </w:rPr>
        <w:t xml:space="preserve">508/2014</w:t>
      </w:r>
      <w:r w:rsidR="00000000" w:rsidRPr="00000000" w:rsidDel="00000000">
        <w:rPr>
          <w:rtl w:val="0"/>
        </w:rPr>
        <w:t xml:space="preserve"> 95. panta 1. un 4. apakšpunktu.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07.02.2017. noteikumiem Nr. 77)</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Publiskā finansējuma apmērs vispārējām izmaksām, kas tieši saistītas ar projekta sagatavošanu vai īstenošanu, ir 50 procentu.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2014.–2020. plānošanas periodā kopējā attiecināmo izmaksu summa pasākumā vienam pretendentam nepārsniedz septiņus miljonus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07.02.2017. noteikumiem Nr. 77; MK 24.10.2017. noteikumiem Nr. 641; MK 16.04.2019. noteikumiem Nr. 165)</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Attiecināmās un neattiecināmās izmaksas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Publisko finansējumu piešķir tikai par projekta iesniegumā ietvertajām šajos noteikumos minētajām attiecināmajām izmaksām pievienotās vērtības palielināšanai zvejas produktiem.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Pasākumā ir noteiktas šādas ar pievienotās vērtības palielināšanu zvejas produktiem saistītas attiecināmās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jaunas būvniecības, būves ierīkošanas (būvdarbi inženierbūves montāžai, ieguldīšanai vai novietošanai pamatnē vai būvē), būves novietošanas (būvdarbi iepriekš izgatavotas būves salikšanai no gataviem elementiem paredzētajā novietnē, neizbūvējot pamatus vai pamatni dziļāk par 30 centimetriem), būves pārbūves un būves atjaunošanas izmaksas, tostarp tās pielāgošanai atjaunojamo energoresursu izmantošanai, energoefektivitātes uzlabošanai vai vides aizsardzības veicināšanai, ieskaitot apsardzes un caurlaides telpu ierīkošanas, apsardzes signalizācijas, videonovērošanas sistēmas un to ierīkošanas, teritorijas labiekārtošanas (teritorijas asfaltēšanas vai cita klājuma ieklāšanas, žoga izbūves, zāliena un ārējā apgaismojuma ierīkošanas), elektrības pieslēguma un dziļurbuma ierīkošanas (pamatojoties uz līgumiem ar trešajām personām, kas ir atbildīgas par darbu veikšanu) izmaksas, bet ne vairāk, kā minēts šo noteikumu </w:t>
      </w:r>
      <w:r w:rsidR="00000000" w:rsidRPr="00000000" w:rsidDel="00000000">
        <w:rPr>
          <w:rtl w:val="0"/>
        </w:rPr>
        <w:t xml:space="preserve">2.</w:t>
      </w:r>
      <w:r w:rsidR="00000000" w:rsidRPr="00000000" w:rsidDel="00000000">
        <w:rPr>
          <w:rtl w:val="0"/>
        </w:rPr>
        <w:t xml:space="preserve"> pielikumā;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jaunu pamatlīdzekļu (tehnikas, iekārtu un aprīkojuma) iegādes un uzstādīšanas izmaksas par:</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tehniku, iekārtām un aprīkojumu, lai palielinātu pievienoto vērtību zvejas produktiem;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laboratorijas, kvalitātes kontroles un izsekojamības tehniku un iekārtām;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mazgāšanas un dezinfekcijas tehniku un iekārtām;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nepieciešamajām enerģētiskajām un elektropadeves iekārtām un tehniku, tostarp par apkures un vēdināšanas tehniku un iekārtām;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nepieciešamajām ūdensapgādes un kanalizācijas, notekūdeņu un dūmgāzu attīrīšanas un ūdens recirkulācijas iekārtām un tehniku;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kravu celšanas un kraušanas tehniku un šo iekārtu iegādi;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i w:val="1"/>
          <w:rtl w:val="0"/>
        </w:rPr>
        <w:t xml:space="preserve">(</w:t>
      </w:r>
      <w:r w:rsidR="00000000" w:rsidRPr="00000000" w:rsidDel="00000000">
        <w:rPr>
          <w:rtl w:val="0"/>
        </w:rPr>
        <w:t xml:space="preserve">svītrots ar MK 24.10.2017. noteikumiem Nr. 641</w:t>
      </w:r>
      <w:r w:rsidR="00000000" w:rsidRPr="00000000" w:rsidDel="00000000">
        <w:rPr>
          <w:i w:val="1"/>
          <w:rtl w:val="0"/>
        </w:rPr>
        <w:t xml:space="preserve">);</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zvejas produktu blakusproduktu, nevēlamās nozvejas un atkritumu savākšanas un transportēšanas iekārtām un tehniku;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specializēto produkcijas pārvadāšanas tehniku, kas nodrošina veterinārajām un higiēnas prasībām atbilstošus apstākļus;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tehniku, iekārtām un aprīkojumu atjaunojamo energoresursu izmantošanas nodrošināšanai;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jaunu būvmateriālu iegādes izmaksas, kas saistītas ar šo noteikumu </w:t>
      </w:r>
      <w:r w:rsidR="00000000" w:rsidRPr="00000000" w:rsidDel="00000000">
        <w:rPr>
          <w:rtl w:val="0"/>
        </w:rPr>
        <w:t xml:space="preserve">22.1.</w:t>
      </w:r>
      <w:r w:rsidR="00000000" w:rsidRPr="00000000" w:rsidDel="00000000">
        <w:rPr>
          <w:rtl w:val="0"/>
        </w:rPr>
        <w:t xml:space="preserve"> apakšpunktā minētajām būvēm, pamatojoties uz būvprojektu ar būvatļaujā izdarītu atzīmi par projektēšanas nosacījumu izpildi vai pretendenta sastādītu tāmi, ja būvvalde pretendentam ir izsniegusi paskaidrojuma rakstu vai apliecinājuma karti;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pievienotās vērtības nodoklis, ja to nav tiesību atskaitīt no valsts budžetā maksājamās nodokļa summas kā priekšnodokli normatīvajos aktos par pievienotās vērtības nodokli noteiktajā kārtībā;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vispārējās izmaksas, tajā skaitā arhitektu, inženieru un konsultantu honorāri, ekspertīzes, būvuzraudzības un autoruzraudzības pakalpojumu, juridisko pakalpojumu, tehniski ekonomisko pamatojumu, kā arī patentu un licenču saņemšanas izmaksas, energoefektivitātes audita sagatavošanas izmaksas, kas ir tieši saistītas ar projekta sagatavošanu vai īstenošanu un nepārsniedz septiņus procentus no pārējo šajā punktā minēto attiecināmo izmaksu kopsummas, tai skaitā: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divus procentus no šo noteikumu </w:t>
      </w:r>
      <w:r w:rsidR="00000000" w:rsidRPr="00000000" w:rsidDel="00000000">
        <w:rPr>
          <w:rtl w:val="0"/>
        </w:rPr>
        <w:t xml:space="preserve">22.2.</w:t>
      </w:r>
      <w:r w:rsidR="00000000" w:rsidRPr="00000000" w:rsidDel="00000000">
        <w:rPr>
          <w:rtl w:val="0"/>
        </w:rPr>
        <w:t xml:space="preserve"> apakšpunktā minētajām izmaksām;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septiņus procentus no šo noteikumu </w:t>
      </w:r>
      <w:r w:rsidR="00000000" w:rsidRPr="00000000" w:rsidDel="00000000">
        <w:rPr>
          <w:rtl w:val="0"/>
        </w:rPr>
        <w:t xml:space="preserve">22.1.</w:t>
      </w:r>
      <w:r w:rsidR="00000000" w:rsidRPr="00000000" w:rsidDel="00000000">
        <w:rPr>
          <w:rtl w:val="0"/>
        </w:rPr>
        <w:t xml:space="preserve"> un </w:t>
      </w:r>
      <w:r w:rsidR="00000000" w:rsidRPr="00000000" w:rsidDel="00000000">
        <w:rPr>
          <w:rtl w:val="0"/>
        </w:rPr>
        <w:t xml:space="preserve">22.3.</w:t>
      </w:r>
      <w:r w:rsidR="00000000" w:rsidRPr="00000000" w:rsidDel="00000000">
        <w:rPr>
          <w:rtl w:val="0"/>
        </w:rPr>
        <w:t xml:space="preserve"> apakšpunktā minētajām izmaksām.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07.02.2017. noteikumiem Nr. 77; MK 16.04.2019. noteikumiem Nr. 165)</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22.</w:t>
      </w:r>
      <w:r w:rsidR="00000000" w:rsidRPr="00000000" w:rsidDel="00000000">
        <w:rPr>
          <w:rtl w:val="0"/>
        </w:rPr>
        <w:t xml:space="preserve"> punktā minētajās izmaksās iekļauj arī vienreizējās izmaksas, kas saistītas ar iekārtu uzstādīšanu, lai nodrošinātu to darbību. Ja pretendents neparedz publisko finansējumu iekārtu uzstādīšanai, tās uzstāda un nodod ekspluatācijā atbilstoši normatīvajiem aktiem par iekārtu uzstādīšanas un lietošanas kārtību. Publisko finansējumu par minētajām iekārtām saņem tikai pēc to nodošanas ekspluatācijā un apliecinošu dokumentu iesniegšanas Lauku atbalsta dienestā.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Jaunu objektu būvē vai pārbūvē maksimālās attiecināmās izmaksas attiecīgajam būvju tipam, no kurām aprēķina publisko finansējumu, ir noteiktas šo noteikumu </w:t>
      </w:r>
      <w:r w:rsidR="00000000" w:rsidRPr="00000000" w:rsidDel="00000000">
        <w:rPr>
          <w:rtl w:val="0"/>
        </w:rPr>
        <w:t xml:space="preserve">2.</w:t>
      </w:r>
      <w:r w:rsidR="00000000" w:rsidRPr="00000000" w:rsidDel="00000000">
        <w:rPr>
          <w:rtl w:val="0"/>
        </w:rPr>
        <w:t xml:space="preserve"> pielikumā.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Maksimālo attiecināmo izmaksu publiskā finansējuma aprēķinā ietver visas ar objekta būvniecību saistītās izmaksas, tajā skaitā iekšējo un ārējo ūdensvadu, iekšējās un ārējās kanalizācijas, iekšējās un ārējās elektroapgādes un ventilācijas un apkures sistēmas izmaksas, kā arī šo noteikumu </w:t>
      </w:r>
      <w:r w:rsidR="00000000" w:rsidRPr="00000000" w:rsidDel="00000000">
        <w:rPr>
          <w:rtl w:val="0"/>
        </w:rPr>
        <w:t xml:space="preserve">28.</w:t>
      </w:r>
      <w:r w:rsidR="00000000" w:rsidRPr="00000000" w:rsidDel="00000000">
        <w:rPr>
          <w:rtl w:val="0"/>
        </w:rPr>
        <w:t xml:space="preserve"> punktā minētās izmaksas.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Ja projektā paredzētās jaunās būvniecības vai pārbūves izmaksas attiecīgajam būves tipam pārsniedz noteiktās maksimālās attiecināmās izmaksas un tās ir nepieciešamas projekta mērķu sasniegšanai, projekta iesniegumu nenoraida, ja izmaksu starpību pilnībā sedz pretendents.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Attiecināmas ir tikai tās būvprojekta tāmes pozīcijas un būvmateriāli, kas ir tiešā veidā saistīti ar konkrētā pasākuma mērķa sasniegšanu.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Par attiecināmajām izmaksām uzskata šādas tieši ar ražošanu nesaistītas izmaksas, ja to summa nepārsniedz 10 procentus no pārējo projektā iekļauto attiecināmo izmaksu pozīciju kopsummas: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administratīvo telpu būvniecības, pārbūves, ierīkošanas, novietošanas un atjaunošanas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palīgtelpu ierīkošanas izmaksas, ja projekta iesniegumā ir izskaidrota to funkcionālā izmantošana;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personāla atpūtas telpu un citu telpu ierīkošanas izmaksas.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Pasākumā ir noteiktas šādas neattiecināmās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procentu maksājumi, maksa par naudas pārskaitījumiem, valūtas maiņas komisijas maksājumi un valūtas kursa svārstību dēļ radušies zaudējumi;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naudas sodi, līgumsodi un tiesas prāvu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tādu apakšlīgumu slēgšana, kuri mākslīgi un nepamatoti palielina projekta izmaksas un kuros samaksa ir noteikta procentos no kopējām projekta izmaksām;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izmaksas, kas saistītas ar jebkuru piegādi, pakalpojumu vai darbu, par kuru nav veikta atbilstoša iepirkuma procedūra saskaņā ar normatīvajiem aktiem par iepirkuma procedūras piemērošanu;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esošo būvju uzturēšanas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tehniskās apkopes, rezerves daļu un ekspluatācijas izdevumi;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atlīdzība personālam;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nodokļi un nodevas (izņemot pievienotās vērtības nodokli tiem pretendentiem, kuri nav reģistrēti kā pievienotās vērtības nodokļa maksātāji);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izmaksas par vispārējas nozīmes transportlīdzekļiem;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izmaksas, kas radušās pirms projekta iesnieguma iesniegšanas (izņemot šo noteikumu </w:t>
      </w:r>
      <w:r w:rsidR="00000000" w:rsidRPr="00000000" w:rsidDel="00000000">
        <w:rPr>
          <w:rtl w:val="0"/>
        </w:rPr>
        <w:t xml:space="preserve">22.5.</w:t>
      </w:r>
      <w:r w:rsidR="00000000" w:rsidRPr="00000000" w:rsidDel="00000000">
        <w:rPr>
          <w:rtl w:val="0"/>
        </w:rPr>
        <w:t xml:space="preserve"> apakšpunktā minētās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būvju būvniecības, pārbūves, atjaunošanas, ierīkošanas un novietošanas izmaksas un tehnikas, iekārtu un aprīkojuma iegādes un uzstādīšanas izmaksas zivju proteīna un zivju eļļas ieguvei, zvejas produktu šķirošanai, atvēsināšanai, kā arī to uzglabāšanai temperatūrā, kas nav zemāka par –2 ºC;</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citas izmaksas, kas nav attiecināmas saskaņā ar regulas Nr.  </w:t>
      </w:r>
      <w:r w:rsidR="00000000" w:rsidRPr="00000000" w:rsidDel="00000000">
        <w:rPr>
          <w:rtl w:val="0"/>
        </w:rPr>
        <w:t xml:space="preserve">508/2014</w:t>
      </w:r>
      <w:r w:rsidR="00000000" w:rsidRPr="00000000" w:rsidDel="00000000">
        <w:rPr>
          <w:rtl w:val="0"/>
        </w:rPr>
        <w:t xml:space="preserve"> 25. panta 2. 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24.10.2017. noteikumiem Nr. 641; MK 16.04.2019. noteikumiem Nr. 165)</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Izmaksas, kas pēc Lauku atbalsta dienesta novērtējuma pārsniedz vidējās izmaksas, un nepabeigto darbu izmaksas uzskata par neattiecināmajām izmaksām.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Pieteikšanās kārtība un iesniedzamie dokumenti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Lai pieteiktos atbalsta saņemšanai, pretendents saskaņā ar normatīvajiem aktiem par valsts un Eiropas Savienības atbalsta piešķiršanu, administrēšanu un uzraudzību lauku un zivsaimniecības attīstībai 2014.–2020. gada plānošanas periodā iesniedz Lauku atbalsta dienestā šādus dokumentus: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iesniegumu (</w:t>
      </w:r>
      <w:r w:rsidR="00000000" w:rsidRPr="00000000" w:rsidDel="00000000">
        <w:rPr>
          <w:rtl w:val="0"/>
        </w:rPr>
        <w:t xml:space="preserve">3.</w:t>
      </w:r>
      <w:r w:rsidR="00000000" w:rsidRPr="00000000" w:rsidDel="00000000">
        <w:rPr>
          <w:rtl w:val="0"/>
        </w:rPr>
        <w:t xml:space="preserve"> pielikums</w:t>
      </w:r>
      <w:r w:rsidR="00000000" w:rsidRPr="00000000" w:rsidDel="00000000">
        <w:rPr>
          <w:rtl w:val="0"/>
        </w:rPr>
        <w:t xml:space="preserve">) divos eksemplāros papīra formā un tā kopiju ārējā datu nesējā, ja iesniegumu neiesniedz Lauku atbalsta dienesta Elektroniskās pieteikšanās sistēmā vai elektroniska dokumenta veidā saskaņā ar Elektronisko dokumentu likumu. Lauku atbalsta dienests vienu projekta iesnieguma papīra eksemplāru kopā ar apliecinājumu par projekta reģistrēšanu atdod pretendentam;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tāda ilgtermiņa nomas līguma kopiju, kurš reģistrēts zemesgrāmatā un kurā minētais nomas termiņš nav īsāks par septiņiem gadiem no projekta iesnieguma iesniegšanas dienas;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iepirkuma procedūru apliecinošus dokumentus – iepirkuma priekšmeta tehnisko specifikāciju un visus iespējamo piegādātāju iesniegtos piedāvājumus – saskaņā ar normatīvajiem aktiem par iepirkuma procedūras piemērošanu;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jaunas būvniecības, būves atjaunošanas, ierīkošanas, novietošanas un pārbūves projektiem atbilstoši plānotajai būvniecības iecerei un būvju grupai papildus iesniedz šādus dokumentus: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būvatļaujas kopiju vai paskaidrojuma raksta vai apliecinājuma kartes kopiju ar būvvaldes atzīmi par būvniecības ieceres akceptu;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būvprojekta kopiju, ja atbilstoši plānotajai būvniecības iecerei būvvalde pretendentam ir izsniegusi būvatļauju un tajā ir atzīme par projektēšanas nosacījumu izpildi;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papildinātu būvatļaujas kopiju ar būvvaldes atzīmi par būvdarbu uzsākšanas nosacījumu izpildi – kopā ar projekta iesniegumu vai deviņu mēnešu laikā pēc Lauku atbalsta dienesta lēmuma par projekta iesnieguma apstiprināšanu spēkā stāšanās dienas;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sagatavotu būvniecības izmaksu tāmi, ja atbilstoši plānotajai būvniecības iecerei būvvalde pretendentam izsniegusi paskaidrojuma rakstu vai apliecinājuma karti;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iegādājoties būvmateriālus (ja būvvalde atbilstoši plānotajai būvniecības iecerei nav izsniegusi paskaidrojuma rakstu vai apliecinājuma karti), – būvprojekta kopiju un būvatļaujas kopiju ar būvvaldes atzīmi par projektēšanas nosacījumu izpildi;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tehnoloģiskā procesa aprakstu, skices, iekārtu izvietojuma shēmu, ja paredzēta iekārtu uzstādīšana (ja attiecas);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Valsts vides dienesta reģionālās vides pārvaldes izsniegtu izziņu par to, kura piesārņojoša darbība tiks veikta, īstenojot projektu, un kuru atļauju – A vai B kategorijas piesārņojošas darbības atļauju vai C kategorijas piesārņojošas darbības apliecinājumu – pretendentam ir nepieciešams saņemt (ja šī prasība attiecas uz pretendentu saskaņā ar normatīvajiem aktiem par piesārņojošo darbību veikšanu);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biedrības statūtu kopiju;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biedrības biedru sarakstu, norādot to darbības jomu;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biedrības valdes apstiprinātu lēmumu par piedalīšanos projektā un visu ar projekta īstenošanu saistīto saistību uzņemšanos (norādot projekta kopējās izmaksas, priekšfinansēšanas avotus un aizņēmuma izņemšanas laika grafiku, ja tiek ņemts aizņēmums);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sertificēta speciālista izsniegta spēkā esoša ēkas energosertifikāta kopiju ar tam pievienotu pārskatu par ekonomiski pamatotiem energoefektivitātes uzlabošanas pasākumiem – ja investīcijas paredzētas energoefektivitātes palielināšanai.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07.02.2017. noteikumiem Nr. 77; MK 24.10.2017. noteikumiem Nr. 641)</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Pretendējot uz finansējumu jaunai būvniecībai, būves atjaunošanai, būves ierīkošanai, būves novietošanai un būves pārbūvei, būvmateriālu vai iekārtu un to aprīkojuma iegādei, ja tas norādīts būvprojektā vai tehnoloģiskajā daļā, šo noteikumu </w:t>
      </w:r>
      <w:r w:rsidR="00000000" w:rsidRPr="00000000" w:rsidDel="00000000">
        <w:rPr>
          <w:rtl w:val="0"/>
        </w:rPr>
        <w:t xml:space="preserve">31.4.</w:t>
      </w:r>
      <w:r w:rsidR="00000000" w:rsidRPr="00000000" w:rsidDel="00000000">
        <w:rPr>
          <w:rtl w:val="0"/>
        </w:rPr>
        <w:t xml:space="preserve"> apakšpunktā minētos būvniecības dokumentus, kā arī iepirkuma dokumentus (izņemot šo noteikumu </w:t>
      </w:r>
      <w:r w:rsidR="00000000" w:rsidRPr="00000000" w:rsidDel="00000000">
        <w:rPr>
          <w:rtl w:val="0"/>
        </w:rPr>
        <w:t xml:space="preserve">31.4.3.</w:t>
      </w:r>
      <w:r w:rsidR="00000000" w:rsidRPr="00000000" w:rsidDel="00000000">
        <w:rPr>
          <w:rtl w:val="0"/>
        </w:rPr>
        <w:t xml:space="preserve"> apakšpunktā minēto dokumentu), kas saistīti ar būvniecības izmaksām, iesniedz kopā ar projekta iesniegumu vai sešu mēnešu laikā pēc Lauku atbalsta dienesta lēmuma par projekta iesnieguma apstiprināšanu spēkā stāšanās dienas, bet ne vēlāk kā piecu darbdienu laikā pēc iepirkuma procedūras pabeigšanas.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Pēc projekta īstenošanas pretendents Lauku atbalsta dienestā iesniedz Pārtikas un veterinārā dienesta izziņu par projekta atbilstību minimālajām higiēnas prasībām.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Atbalsta saņēmējs, sākot ar nākamo gadu pēc projekta īstenošanas, turpmāk visā projekta uzraudzības periodā katru gadu līdz 1. jūnijam iesniedz Lauku atbalsta dienestā pārskatu par atbalsta saņēmēja saimnieciskās darbības rādītājiem par iepriekšējo kalendāra gadu (</w:t>
      </w:r>
      <w:r w:rsidR="00000000" w:rsidRPr="00000000" w:rsidDel="00000000">
        <w:rPr>
          <w:rtl w:val="0"/>
        </w:rPr>
        <w:t xml:space="preserve">4.</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Noslēguma jautājums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Lauku atbalsta dienests tiem projektu iesniegumiem, kas iesniegti pēc 2020. gada 28. augusta, bet līdz 2021. gada 1. oktobrim nav pilnībā īstenoti, nepiemēro šo noteikumu 2. pielikumā minētās maksimālās attiecināmās izmaksas galvenajiem būvju tipiem jaunas būvniecības un pārbūves projektos.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21-TA-45</w:t>
    </w:r>
    <w:r>
      <w:br/>
    </w:r>
    <w:r w:rsidR="00000000" w:rsidRPr="00000000" w:rsidDel="00000000">
      <w:rPr>
        <w:rtl w:val="0"/>
      </w:rPr>
      <w:t xml:space="preserve">Izdrukāts 29.07.2026. 23.01 - 1.0.VK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21-TA-45</w:t>
    </w:r>
    <w:r>
      <w:br/>
    </w:r>
    <w:r w:rsidR="00000000" w:rsidRPr="00000000" w:rsidDel="00000000">
      <w:rPr>
        <w:rtl w:val="0"/>
      </w:rPr>
      <w:t xml:space="preserve">Izdrukāts 29.07.2026. 23.01 - 1.0.VK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noteikumu_konsolidētā_versija_21-TA-45.docx</dc:title>
</cp:coreProperties>
</file>

<file path=docProps/custom.xml><?xml version="1.0" encoding="utf-8"?>
<Properties xmlns="http://schemas.openxmlformats.org/officeDocument/2006/custom-properties" xmlns:vt="http://schemas.openxmlformats.org/officeDocument/2006/docPropsVTypes"/>
</file>