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324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9. jūnijā (prot. Nr. 32 35.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6. jūnija noteikumos Nr. 291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5.1.1.3. pasākuma "Publiskās ārtelpas attīstība"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Eiropas Savienības fondu 2021.</w:t>
      </w:r>
      <w:r w:rsidR="00000000" w:rsidRPr="00000000" w:rsidDel="00000000">
        <w:rPr>
          <w:rStyle w:val="paragraph"/>
          <w:i w:val="1"/>
          <w:rtl w:val="0"/>
        </w:rPr>
        <w:t xml:space="preserve">–</w:t>
      </w:r>
      <w:r w:rsidR="00000000" w:rsidRPr="00000000" w:rsidDel="00000000">
        <w:rPr>
          <w:rStyle w:val="paragraph"/>
          <w:i w:val="1"/>
          <w:rtl w:val="0"/>
        </w:rPr>
        <w:t xml:space="preserve">2027. gada plānošanas perioda vadības likum</w:t>
      </w:r>
      <w:r w:rsidR="00000000" w:rsidRPr="00000000" w:rsidDel="00000000">
        <w:rPr>
          <w:rStyle w:val="paragraph"/>
          <w:i w:val="1"/>
          <w:rtl w:val="0"/>
        </w:rPr>
        <w:t xml:space="preserve">a </w:t>
      </w:r>
      <w:r w:rsidR="00000000" w:rsidRPr="00000000" w:rsidDel="00000000">
        <w:rPr>
          <w:rStyle w:val="paragraph"/>
          <w:i w:val="1"/>
          <w:rtl w:val="0"/>
        </w:rPr>
        <w:t xml:space="preserve">19. panta</w:t>
      </w:r>
      <w:r w:rsidR="00000000" w:rsidRPr="00000000" w:rsidDel="00000000">
        <w:rPr>
          <w:rStyle w:val="paragraph"/>
          <w:i w:val="1"/>
          <w:rtl w:val="0"/>
        </w:rPr>
        <w:t xml:space="preserve">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6. jūnija noteikumos Nr. 291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5.1.1.3. pasākuma "Publiskās ārtelpas attīstība" īstenošanas noteikumi" (Latvijas Vēstnesis, 2023, 110. nr.; 2024, 109.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Pasākumu īsteno līdz 2029. gada 31. decembrim, sasniedzot programmas iznākuma rādītāju – jaunizveidotas vai atjaunotas atvērtās zonas (publiskās teritorijas) pilsētvidē – 131 897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Pasākuma ietvaros plānotais un pieejamais kopējais finansējums ir ne mazāks kā 31 207 009 </w:t>
      </w:r>
      <w:r w:rsidR="00000000" w:rsidRPr="00000000" w:rsidDel="00000000">
        <w:rPr>
          <w:i w:val="1"/>
          <w:rtl w:val="0"/>
        </w:rPr>
        <w:t xml:space="preserve">euro</w:t>
      </w:r>
      <w:r w:rsidR="00000000" w:rsidRPr="00000000" w:rsidDel="00000000">
        <w:rPr>
          <w:rtl w:val="0"/>
        </w:rPr>
        <w:t xml:space="preserve">, tai skaitā Eiropas Reģionālās attīstības fonda (turpmāk – ERAF) finansējums – 26 525 957 </w:t>
      </w:r>
      <w:r w:rsidR="00000000" w:rsidRPr="00000000" w:rsidDel="00000000">
        <w:rPr>
          <w:i w:val="1"/>
          <w:rtl w:val="0"/>
        </w:rPr>
        <w:t xml:space="preserve">euro</w:t>
      </w:r>
      <w:r w:rsidR="00000000" w:rsidRPr="00000000" w:rsidDel="00000000">
        <w:rPr>
          <w:rtl w:val="0"/>
        </w:rPr>
        <w:t xml:space="preserve"> un nacionālais finansējums (pašvaldību finansējums) – ne mazāks kā 4 681 052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14.1. Rīgas plānošanas reģionam – ERAF finansējums 4 258 392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14.2. Kurzemes plānošanas reģionam – ERAF finansējums 7 259 804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14.3. Zemgales plānošanas reģionam – ERAF finansējums 3 924 916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14.4. Vidzemes plānošanas reģionam – ERAF finansējums 4 917 108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14.5. Latgales plānošanas reģionam – ERAF finansējums 6 165 737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26.1.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"26.1. projekta iesnieguma pamatojošās dokumentācijas sagatavošanas izmaksas, būvuzraudzības, autoruzraudzības, būvprojekta tehniskā projekta vai skiču projekta stadijā izmaksas, energosertifikācijas un energoaudita izmaksas,  vides pieejamības ekspertu un ainavu arhitektu konsultāciju izmaksas. Minētās izmaksas kopā nepārsniedz 10 procentus no projekta plānotajām kopējām attiecināmajām izmaksām;".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26.2.16.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"26.2.16. teritorijas labiekārtošanas ietvaros paredzētās vizuālās mākslas un dizaina objektu iegādes un uzstādīšanas izmaksas ir attiecināmas līdz 10 procentiem no projekta plānotajām kopējām attiecināmajām izmaksām, ja tie vienlaikus ir arī funkcionāli izmantojami;".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33.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 Ja projekta ietvaros tiek plānotas apgaismojuma izmaksas, notekūdeņu attīrīšanas un dzeramā ūdens ieguves un sagatavošanas infrastruktūras izmaksas, projekta iesniedzējs projekta iesniegumā norāda enerģijas patēriņu (megavatstundas) pirms projekta īstenošanas. Finansējuma saņēmējam ir pienākums otrajā kalendāra gadā pēc projekta īstenošanas informēt sadarbības iestādi par enerģijas patēriņu (megavatstundas) pirmajā kalendāra gadā pēc projekta īstenošanas."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37.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 Finansējuma saņēmējs projektu īsteno termiņā, ko nosaka civiltiesiskais līgums vai vienošanās par projekta īstenošanu, bet ne ilgāk kā līdz 2026. gada 31. decembrim. Finansējuma saņēmējs var lūgt sadarbības iestādi, pamatojot objektīvu nepieciešamību, veikt grozījumus civiltiesiskajā līgumā vai vienošanās nosacījumos par projekta īstenošanu un pagarināt projekta īstenošanas termiņu, bet ne ilgāk kā līdz 2029. gada 31. decembrim."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Svītrot 38.6.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Svītrot 48.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51.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 Finansējuma saņēmējs nodrošina, ka projektā tiek paredzēts zaļais publiskais iepirkums vismaz vienai būvdarbu vai preču vai pakalpojumu grupai papildu tām preču un pakalpojumu grupām, kurām obligāti piemērojams zaļais publiskais iepirkums saskaņā ar nacionālajiem normatīvajiem aktiem par prasībām zaļajam publiskajam iepirkumam un to piemērošanas kārtību, un veic sociāli atbildīgu iepirkumu, kur tas ir attiecināms un atbilst ieguldījumu specifikai."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M. Kučinskis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Tavars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26-TA-724</w:t>
    </w:r>
    <w:r>
      <w:br/>
    </w:r>
    <w:r w:rsidR="00000000" w:rsidRPr="00000000" w:rsidDel="00000000">
      <w:rPr>
        <w:rtl w:val="0"/>
      </w:rPr>
      <w:t xml:space="preserve">Izdrukāts 29.07.2026. 22.09 - 1.0.VK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26-TA-724</w:t>
    </w:r>
    <w:r>
      <w:br/>
    </w:r>
    <w:r w:rsidR="00000000" w:rsidRPr="00000000" w:rsidDel="00000000">
      <w:rPr>
        <w:rtl w:val="0"/>
      </w:rPr>
      <w:t xml:space="preserve">Izdrukāts 29.07.2026. 22.09 - 1.0.VK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noteikumu_(grozījumu)_projekts_26-TA-724.docx</dc:title>
</cp:coreProperties>
</file>

<file path=docProps/custom.xml><?xml version="1.0" encoding="utf-8"?>
<Properties xmlns="http://schemas.openxmlformats.org/officeDocument/2006/custom-properties" xmlns:vt="http://schemas.openxmlformats.org/officeDocument/2006/docPropsVTypes"/>
</file>