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28. jūnija noteikumos Nr. 413 "Rūpnieciskā īpašuma apelācijas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22-TA-3728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