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(Latvijas Vēstnesis, 2017, 61. nr.; 2018, 162. nr.; 2020, 31. nr.; 2021, 130. nr.; 2022, 69., 220. nr.; 2023, 112.,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Šo noteikumu 14.2. un 17.1.2. apakšpunktā minētās prasības neattiecas uz šo noteikumu 17.1.3.4. apakšpunktā minētajām ārstniecības personām. Šo noteikumu 17.1.3.4. apakšpunktā minēto ārstniecības personu darbības teritorija ir visa Latvija."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25-TA-886</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25-TA-886</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noteikumu_(grozījumu)_projekts_25-TA-886.docx</dc:title>
</cp:coreProperties>
</file>

<file path=docProps/custom.xml><?xml version="1.0" encoding="utf-8"?>
<Properties xmlns="http://schemas.openxmlformats.org/officeDocument/2006/custom-properties" xmlns:vt="http://schemas.openxmlformats.org/officeDocument/2006/docPropsVTypes"/>
</file>